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ajorEastAsia" w:cstheme="majorBidi"/>
          <w:caps/>
          <w:color w:val="943634" w:themeColor="accent2" w:themeShade="BF"/>
          <w:lang w:val="en-GB"/>
        </w:rPr>
        <w:id w:val="17385853"/>
        <w:docPartObj>
          <w:docPartGallery w:val="Cover Pages"/>
          <w:docPartUnique/>
        </w:docPartObj>
      </w:sdtPr>
      <w:sdtEndPr>
        <w:rPr>
          <w:rFonts w:eastAsiaTheme="minorHAnsi" w:cstheme="minorBidi"/>
          <w:caps w:val="0"/>
          <w:color w:val="auto"/>
        </w:rPr>
      </w:sdtEndPr>
      <w:sdtContent>
        <w:tbl>
          <w:tblPr>
            <w:tblW w:w="5000" w:type="pct"/>
            <w:jc w:val="center"/>
            <w:tblLook w:val="04A0" w:firstRow="1" w:lastRow="0" w:firstColumn="1" w:lastColumn="0" w:noHBand="0" w:noVBand="1"/>
          </w:tblPr>
          <w:tblGrid>
            <w:gridCol w:w="9184"/>
          </w:tblGrid>
          <w:tr w:rsidR="00F42D01" w:rsidRPr="00C95F78">
            <w:trPr>
              <w:trHeight w:val="2880"/>
              <w:jc w:val="center"/>
            </w:trPr>
            <w:sdt>
              <w:sdtPr>
                <w:rPr>
                  <w:rFonts w:eastAsiaTheme="majorEastAsia" w:cstheme="majorBidi"/>
                  <w:caps/>
                  <w:color w:val="943634" w:themeColor="accent2" w:themeShade="BF"/>
                  <w:lang w:val="en-GB"/>
                </w:rPr>
                <w:alias w:val="Company"/>
                <w:id w:val="15524243"/>
                <w:dataBinding w:prefixMappings="xmlns:ns0='http://schemas.openxmlformats.org/officeDocument/2006/extended-properties'" w:xpath="/ns0:Properties[1]/ns0:Company[1]" w:storeItemID="{6668398D-A668-4E3E-A5EB-62B293D839F1}"/>
                <w:text/>
              </w:sdtPr>
              <w:sdtEndPr>
                <w:rPr>
                  <w:sz w:val="36"/>
                  <w:szCs w:val="36"/>
                  <w:lang w:val="en-US"/>
                </w:rPr>
              </w:sdtEndPr>
              <w:sdtContent>
                <w:tc>
                  <w:tcPr>
                    <w:tcW w:w="5000" w:type="pct"/>
                  </w:tcPr>
                  <w:p w:rsidR="00F42D01" w:rsidRPr="00C95F78" w:rsidRDefault="00F1465A" w:rsidP="00BB1A5E">
                    <w:pPr>
                      <w:pStyle w:val="NoSpacing"/>
                      <w:contextualSpacing/>
                      <w:jc w:val="center"/>
                      <w:rPr>
                        <w:rFonts w:eastAsiaTheme="majorEastAsia" w:cstheme="majorBidi"/>
                        <w:caps/>
                        <w:color w:val="943634" w:themeColor="accent2" w:themeShade="BF"/>
                      </w:rPr>
                    </w:pPr>
                    <w:r w:rsidRPr="00C95F78">
                      <w:rPr>
                        <w:rFonts w:eastAsiaTheme="majorEastAsia" w:cstheme="majorBidi"/>
                        <w:caps/>
                        <w:color w:val="943634" w:themeColor="accent2" w:themeShade="BF"/>
                        <w:lang w:val="en-GB"/>
                      </w:rPr>
                      <w:t>Bloomsbury Minerals economics ltd</w:t>
                    </w:r>
                  </w:p>
                </w:tc>
              </w:sdtContent>
            </w:sdt>
          </w:tr>
          <w:tr w:rsidR="00F42D01" w:rsidRPr="00C95F78">
            <w:trPr>
              <w:trHeight w:val="1440"/>
              <w:jc w:val="center"/>
            </w:trPr>
            <w:tc>
              <w:tcPr>
                <w:tcW w:w="5000" w:type="pct"/>
                <w:tcBorders>
                  <w:bottom w:val="single" w:sz="4" w:space="0" w:color="4F81BD" w:themeColor="accent1"/>
                </w:tcBorders>
                <w:vAlign w:val="center"/>
              </w:tcPr>
              <w:p w:rsidR="00545D8E" w:rsidRPr="00C95F78" w:rsidRDefault="00545D8E" w:rsidP="00BB1A5E">
                <w:pPr>
                  <w:spacing w:after="0" w:line="240" w:lineRule="auto"/>
                  <w:contextualSpacing/>
                  <w:jc w:val="both"/>
                  <w:rPr>
                    <w:b/>
                    <w:bCs/>
                    <w:color w:val="943634" w:themeColor="accent2" w:themeShade="BF"/>
                    <w:sz w:val="56"/>
                    <w:szCs w:val="56"/>
                  </w:rPr>
                </w:pPr>
              </w:p>
              <w:p w:rsidR="00DD19C3" w:rsidRDefault="000B7317" w:rsidP="00BB1A5E">
                <w:pPr>
                  <w:spacing w:after="0" w:line="240" w:lineRule="auto"/>
                  <w:contextualSpacing/>
                  <w:jc w:val="center"/>
                  <w:rPr>
                    <w:b/>
                    <w:bCs/>
                    <w:color w:val="1F497D" w:themeColor="text2"/>
                    <w:sz w:val="56"/>
                    <w:szCs w:val="56"/>
                  </w:rPr>
                </w:pPr>
                <w:r w:rsidRPr="00C95F78">
                  <w:rPr>
                    <w:b/>
                    <w:bCs/>
                    <w:color w:val="1F497D" w:themeColor="text2"/>
                    <w:sz w:val="56"/>
                    <w:szCs w:val="56"/>
                  </w:rPr>
                  <w:t>The Emerging Electrical Markets</w:t>
                </w:r>
              </w:p>
              <w:p w:rsidR="00793867" w:rsidRPr="00C95F78" w:rsidRDefault="000B7317" w:rsidP="00BB1A5E">
                <w:pPr>
                  <w:spacing w:after="0" w:line="240" w:lineRule="auto"/>
                  <w:contextualSpacing/>
                  <w:jc w:val="center"/>
                  <w:rPr>
                    <w:b/>
                    <w:bCs/>
                    <w:color w:val="1F497D" w:themeColor="text2"/>
                    <w:sz w:val="56"/>
                    <w:szCs w:val="56"/>
                  </w:rPr>
                </w:pPr>
                <w:r w:rsidRPr="00C95F78">
                  <w:rPr>
                    <w:b/>
                    <w:bCs/>
                    <w:color w:val="1F497D" w:themeColor="text2"/>
                    <w:sz w:val="56"/>
                    <w:szCs w:val="56"/>
                  </w:rPr>
                  <w:t>for Copper</w:t>
                </w:r>
              </w:p>
              <w:p w:rsidR="00545D8E" w:rsidRDefault="00545D8E" w:rsidP="00BB1A5E">
                <w:pPr>
                  <w:spacing w:after="0" w:line="240" w:lineRule="auto"/>
                  <w:contextualSpacing/>
                  <w:jc w:val="both"/>
                  <w:rPr>
                    <w:b/>
                    <w:bCs/>
                    <w:color w:val="1F497D" w:themeColor="text2"/>
                    <w:sz w:val="56"/>
                    <w:szCs w:val="56"/>
                  </w:rPr>
                </w:pPr>
              </w:p>
              <w:p w:rsidR="00DD19C3" w:rsidRDefault="00DD19C3" w:rsidP="00BB1A5E">
                <w:pPr>
                  <w:spacing w:after="0" w:line="240" w:lineRule="auto"/>
                  <w:contextualSpacing/>
                  <w:jc w:val="both"/>
                  <w:rPr>
                    <w:b/>
                    <w:bCs/>
                    <w:color w:val="1F497D" w:themeColor="text2"/>
                    <w:sz w:val="56"/>
                    <w:szCs w:val="56"/>
                  </w:rPr>
                </w:pPr>
              </w:p>
              <w:p w:rsidR="00DD19C3" w:rsidRPr="00C95F78" w:rsidRDefault="00DD19C3" w:rsidP="00BB1A5E">
                <w:pPr>
                  <w:spacing w:after="0" w:line="240" w:lineRule="auto"/>
                  <w:contextualSpacing/>
                  <w:jc w:val="both"/>
                  <w:rPr>
                    <w:b/>
                    <w:bCs/>
                    <w:color w:val="1F497D" w:themeColor="text2"/>
                    <w:sz w:val="56"/>
                    <w:szCs w:val="56"/>
                  </w:rPr>
                </w:pPr>
              </w:p>
              <w:p w:rsidR="00F42D01" w:rsidRPr="00C95F78" w:rsidRDefault="00F42D01" w:rsidP="00BB1A5E">
                <w:pPr>
                  <w:spacing w:after="0" w:line="240" w:lineRule="auto"/>
                  <w:contextualSpacing/>
                  <w:jc w:val="both"/>
                  <w:rPr>
                    <w:rFonts w:eastAsiaTheme="majorEastAsia" w:cstheme="majorBidi"/>
                    <w:color w:val="943634" w:themeColor="accent2" w:themeShade="BF"/>
                    <w:sz w:val="80"/>
                    <w:szCs w:val="80"/>
                  </w:rPr>
                </w:pPr>
              </w:p>
            </w:tc>
          </w:tr>
          <w:tr w:rsidR="00F42D01" w:rsidRPr="00C95F78">
            <w:trPr>
              <w:trHeight w:val="720"/>
              <w:jc w:val="center"/>
            </w:trPr>
            <w:sdt>
              <w:sdtPr>
                <w:rPr>
                  <w:rFonts w:eastAsiaTheme="majorEastAsia" w:cstheme="majorBidi"/>
                  <w:color w:val="943634" w:themeColor="accent2" w:themeShade="BF"/>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42D01" w:rsidRPr="00C95F78" w:rsidRDefault="00F1465A" w:rsidP="00F3677B">
                    <w:pPr>
                      <w:pStyle w:val="NoSpacing"/>
                      <w:contextualSpacing/>
                      <w:jc w:val="center"/>
                      <w:rPr>
                        <w:rFonts w:eastAsiaTheme="majorEastAsia" w:cstheme="majorBidi"/>
                        <w:color w:val="943634" w:themeColor="accent2" w:themeShade="BF"/>
                        <w:sz w:val="44"/>
                        <w:szCs w:val="44"/>
                      </w:rPr>
                    </w:pPr>
                    <w:r w:rsidRPr="00C95F78">
                      <w:rPr>
                        <w:rFonts w:eastAsiaTheme="majorEastAsia" w:cstheme="majorBidi"/>
                        <w:color w:val="943634" w:themeColor="accent2" w:themeShade="BF"/>
                        <w:sz w:val="44"/>
                        <w:szCs w:val="44"/>
                        <w:lang w:val="en-GB"/>
                      </w:rPr>
                      <w:t xml:space="preserve">A </w:t>
                    </w:r>
                    <w:r w:rsidR="00F3677B">
                      <w:rPr>
                        <w:rFonts w:eastAsiaTheme="majorEastAsia" w:cstheme="majorBidi"/>
                        <w:color w:val="943634" w:themeColor="accent2" w:themeShade="BF"/>
                        <w:sz w:val="44"/>
                        <w:szCs w:val="44"/>
                        <w:lang w:val="en-GB"/>
                      </w:rPr>
                      <w:t>Market Report on Copper</w:t>
                    </w:r>
                  </w:p>
                </w:tc>
              </w:sdtContent>
            </w:sdt>
          </w:tr>
          <w:tr w:rsidR="00F42D01" w:rsidRPr="00C95F78">
            <w:trPr>
              <w:trHeight w:val="360"/>
              <w:jc w:val="center"/>
            </w:trPr>
            <w:tc>
              <w:tcPr>
                <w:tcW w:w="5000" w:type="pct"/>
                <w:vAlign w:val="center"/>
              </w:tcPr>
              <w:p w:rsidR="00F42D01" w:rsidRPr="00C95F78" w:rsidRDefault="00F42D01" w:rsidP="00BB1A5E">
                <w:pPr>
                  <w:pStyle w:val="NoSpacing"/>
                  <w:contextualSpacing/>
                  <w:jc w:val="center"/>
                  <w:rPr>
                    <w:color w:val="943634" w:themeColor="accent2" w:themeShade="BF"/>
                  </w:rPr>
                </w:pPr>
              </w:p>
            </w:tc>
          </w:tr>
          <w:tr w:rsidR="00F42D01" w:rsidRPr="00C95F78">
            <w:trPr>
              <w:trHeight w:val="360"/>
              <w:jc w:val="center"/>
            </w:trPr>
            <w:tc>
              <w:tcPr>
                <w:tcW w:w="5000" w:type="pct"/>
                <w:vAlign w:val="center"/>
              </w:tcPr>
              <w:p w:rsidR="00F42D01" w:rsidRPr="00C95F78" w:rsidRDefault="00F42D01" w:rsidP="00BB1A5E">
                <w:pPr>
                  <w:pStyle w:val="NoSpacing"/>
                  <w:contextualSpacing/>
                  <w:jc w:val="center"/>
                  <w:rPr>
                    <w:b/>
                    <w:bCs/>
                    <w:color w:val="943634" w:themeColor="accent2" w:themeShade="BF"/>
                  </w:rPr>
                </w:pPr>
              </w:p>
            </w:tc>
          </w:tr>
          <w:tr w:rsidR="00F42D01" w:rsidRPr="00C95F78">
            <w:trPr>
              <w:trHeight w:val="360"/>
              <w:jc w:val="center"/>
            </w:trPr>
            <w:sdt>
              <w:sdtPr>
                <w:rPr>
                  <w:b/>
                  <w:bCs/>
                  <w:color w:val="943634" w:themeColor="accent2" w:themeShade="BF"/>
                  <w:sz w:val="36"/>
                  <w:szCs w:val="36"/>
                </w:rPr>
                <w:alias w:val="Date"/>
                <w:id w:val="516659546"/>
                <w:dataBinding w:prefixMappings="xmlns:ns0='http://schemas.microsoft.com/office/2006/coverPageProps'" w:xpath="/ns0:CoverPageProperties[1]/ns0:PublishDate[1]" w:storeItemID="{55AF091B-3C7A-41E3-B477-F2FDAA23CFDA}"/>
                <w:date w:fullDate="2010-07-06T00:00:00Z">
                  <w:dateFormat w:val="M/d/yyyy"/>
                  <w:lid w:val="en-US"/>
                  <w:storeMappedDataAs w:val="dateTime"/>
                  <w:calendar w:val="gregorian"/>
                </w:date>
              </w:sdtPr>
              <w:sdtEndPr/>
              <w:sdtContent>
                <w:tc>
                  <w:tcPr>
                    <w:tcW w:w="5000" w:type="pct"/>
                    <w:vAlign w:val="center"/>
                  </w:tcPr>
                  <w:p w:rsidR="00F42D01" w:rsidRPr="00C95F78" w:rsidRDefault="006258F9" w:rsidP="00B736F2">
                    <w:pPr>
                      <w:pStyle w:val="NoSpacing"/>
                      <w:contextualSpacing/>
                      <w:jc w:val="center"/>
                      <w:rPr>
                        <w:b/>
                        <w:bCs/>
                        <w:color w:val="943634" w:themeColor="accent2" w:themeShade="BF"/>
                        <w:sz w:val="36"/>
                        <w:szCs w:val="36"/>
                      </w:rPr>
                    </w:pPr>
                    <w:r>
                      <w:rPr>
                        <w:b/>
                        <w:bCs/>
                        <w:color w:val="943634" w:themeColor="accent2" w:themeShade="BF"/>
                        <w:sz w:val="36"/>
                        <w:szCs w:val="36"/>
                      </w:rPr>
                      <w:t>7/6/2010</w:t>
                    </w:r>
                  </w:p>
                </w:tc>
              </w:sdtContent>
            </w:sdt>
          </w:tr>
        </w:tbl>
        <w:p w:rsidR="004D6789" w:rsidRPr="00C95F78" w:rsidRDefault="004D6789" w:rsidP="00BB1A5E">
          <w:pPr>
            <w:spacing w:line="240" w:lineRule="auto"/>
            <w:contextualSpacing/>
            <w:jc w:val="both"/>
          </w:pPr>
        </w:p>
        <w:p w:rsidR="004D6789" w:rsidRPr="00C95F78" w:rsidRDefault="004D6789" w:rsidP="00BB1A5E">
          <w:pPr>
            <w:spacing w:line="240" w:lineRule="auto"/>
            <w:contextualSpacing/>
            <w:jc w:val="both"/>
          </w:pPr>
        </w:p>
        <w:p w:rsidR="004D6789" w:rsidRPr="00C95F78" w:rsidRDefault="004D6789" w:rsidP="00BB1A5E">
          <w:pPr>
            <w:spacing w:line="240" w:lineRule="auto"/>
            <w:contextualSpacing/>
            <w:jc w:val="both"/>
          </w:pPr>
        </w:p>
        <w:p w:rsidR="004D6789" w:rsidRPr="00C95F78" w:rsidRDefault="004D6789" w:rsidP="00BB1A5E">
          <w:pPr>
            <w:spacing w:line="240" w:lineRule="auto"/>
            <w:contextualSpacing/>
            <w:jc w:val="both"/>
          </w:pPr>
        </w:p>
        <w:p w:rsidR="0074178D" w:rsidRDefault="0074178D" w:rsidP="00BB1A5E">
          <w:pPr>
            <w:spacing w:line="240" w:lineRule="auto"/>
            <w:jc w:val="both"/>
          </w:pPr>
          <w:r>
            <w:br w:type="page"/>
          </w:r>
        </w:p>
        <w:p w:rsidR="004D6789" w:rsidRPr="00C95F78" w:rsidRDefault="004D6789" w:rsidP="00BB1A5E">
          <w:pPr>
            <w:spacing w:line="240" w:lineRule="auto"/>
            <w:contextualSpacing/>
            <w:jc w:val="both"/>
          </w:pPr>
        </w:p>
        <w:p w:rsidR="004D6789" w:rsidRPr="00C95F78" w:rsidRDefault="004D6789" w:rsidP="00BB1A5E">
          <w:pPr>
            <w:spacing w:line="240" w:lineRule="auto"/>
            <w:contextualSpacing/>
            <w:jc w:val="both"/>
          </w:pPr>
        </w:p>
        <w:p w:rsidR="004D6789" w:rsidRPr="00C95F78" w:rsidRDefault="004D6789" w:rsidP="00BB1A5E">
          <w:pPr>
            <w:spacing w:line="240" w:lineRule="auto"/>
            <w:contextualSpacing/>
            <w:jc w:val="both"/>
          </w:pPr>
        </w:p>
        <w:p w:rsidR="004D6789" w:rsidRPr="00C95F78" w:rsidRDefault="00B63007" w:rsidP="00BB1A5E">
          <w:pPr>
            <w:spacing w:line="240" w:lineRule="auto"/>
            <w:contextualSpacing/>
            <w:jc w:val="both"/>
          </w:pPr>
          <w:r w:rsidRPr="00C95F78">
            <w:br w:type="page"/>
          </w:r>
        </w:p>
        <w:sdt>
          <w:sdtPr>
            <w:rPr>
              <w:rFonts w:asciiTheme="minorHAnsi" w:eastAsiaTheme="minorHAnsi" w:hAnsiTheme="minorHAnsi" w:cstheme="minorBidi"/>
              <w:b w:val="0"/>
              <w:bCs w:val="0"/>
              <w:color w:val="auto"/>
              <w:sz w:val="22"/>
              <w:szCs w:val="22"/>
              <w:lang w:val="en-GB"/>
            </w:rPr>
            <w:id w:val="10316245"/>
            <w:docPartObj>
              <w:docPartGallery w:val="Table of Contents"/>
              <w:docPartUnique/>
            </w:docPartObj>
          </w:sdtPr>
          <w:sdtEndPr/>
          <w:sdtContent>
            <w:p w:rsidR="004D6789" w:rsidRPr="0074178D" w:rsidRDefault="00EB51D4" w:rsidP="00BB1A5E">
              <w:pPr>
                <w:pStyle w:val="TOCHeading"/>
                <w:numPr>
                  <w:ilvl w:val="0"/>
                  <w:numId w:val="0"/>
                </w:numPr>
                <w:spacing w:line="240" w:lineRule="auto"/>
                <w:contextualSpacing/>
                <w:jc w:val="both"/>
                <w:rPr>
                  <w:rFonts w:asciiTheme="minorHAnsi" w:hAnsiTheme="minorHAnsi"/>
                  <w:sz w:val="32"/>
                  <w:szCs w:val="32"/>
                </w:rPr>
              </w:pPr>
              <w:r w:rsidRPr="0074178D">
                <w:rPr>
                  <w:rFonts w:asciiTheme="minorHAnsi" w:hAnsiTheme="minorHAnsi"/>
                  <w:sz w:val="32"/>
                  <w:szCs w:val="32"/>
                </w:rPr>
                <w:t>Table of</w:t>
              </w:r>
              <w:r w:rsidRPr="0074178D">
                <w:rPr>
                  <w:rFonts w:asciiTheme="minorHAnsi" w:eastAsiaTheme="minorHAnsi" w:hAnsiTheme="minorHAnsi" w:cstheme="minorBidi"/>
                  <w:b w:val="0"/>
                  <w:bCs w:val="0"/>
                  <w:color w:val="auto"/>
                  <w:sz w:val="32"/>
                  <w:szCs w:val="32"/>
                  <w:lang w:val="en-GB"/>
                </w:rPr>
                <w:t xml:space="preserve"> </w:t>
              </w:r>
              <w:r w:rsidR="00AF6C6B" w:rsidRPr="0074178D">
                <w:rPr>
                  <w:rFonts w:asciiTheme="minorHAnsi" w:hAnsiTheme="minorHAnsi"/>
                  <w:sz w:val="32"/>
                  <w:szCs w:val="32"/>
                </w:rPr>
                <w:t>Contents</w:t>
              </w:r>
            </w:p>
            <w:p w:rsidR="004D6789" w:rsidRDefault="004D6789" w:rsidP="00BB1A5E">
              <w:pPr>
                <w:spacing w:line="240" w:lineRule="auto"/>
                <w:contextualSpacing/>
                <w:jc w:val="both"/>
                <w:rPr>
                  <w:lang w:val="en-US"/>
                </w:rPr>
              </w:pPr>
            </w:p>
            <w:p w:rsidR="00223DD8" w:rsidRDefault="00D50FDC">
              <w:pPr>
                <w:pStyle w:val="TOC1"/>
                <w:tabs>
                  <w:tab w:val="right" w:leader="dot" w:pos="9174"/>
                </w:tabs>
                <w:rPr>
                  <w:rFonts w:eastAsiaTheme="minorEastAsia"/>
                  <w:noProof/>
                  <w:lang w:eastAsia="en-GB"/>
                </w:rPr>
              </w:pPr>
              <w:r w:rsidRPr="00C95F78">
                <w:fldChar w:fldCharType="begin"/>
              </w:r>
              <w:r w:rsidR="00AF6C6B" w:rsidRPr="00C95F78">
                <w:instrText xml:space="preserve"> TOC \o "1-3" \h \z \u </w:instrText>
              </w:r>
              <w:r w:rsidRPr="00C95F78">
                <w:fldChar w:fldCharType="separate"/>
              </w:r>
              <w:hyperlink w:anchor="_Toc263688562" w:history="1">
                <w:r w:rsidR="00223DD8" w:rsidRPr="00F27526">
                  <w:rPr>
                    <w:rStyle w:val="Hyperlink"/>
                    <w:noProof/>
                  </w:rPr>
                  <w:t>EXECUTIVE SUMMARY</w:t>
                </w:r>
                <w:r w:rsidR="00223DD8">
                  <w:rPr>
                    <w:noProof/>
                    <w:webHidden/>
                  </w:rPr>
                  <w:tab/>
                </w:r>
                <w:r>
                  <w:rPr>
                    <w:noProof/>
                    <w:webHidden/>
                  </w:rPr>
                  <w:fldChar w:fldCharType="begin"/>
                </w:r>
                <w:r w:rsidR="00223DD8">
                  <w:rPr>
                    <w:noProof/>
                    <w:webHidden/>
                  </w:rPr>
                  <w:instrText xml:space="preserve"> PAGEREF _Toc263688562 \h </w:instrText>
                </w:r>
                <w:r>
                  <w:rPr>
                    <w:noProof/>
                    <w:webHidden/>
                  </w:rPr>
                </w:r>
                <w:r>
                  <w:rPr>
                    <w:noProof/>
                    <w:webHidden/>
                  </w:rPr>
                  <w:fldChar w:fldCharType="separate"/>
                </w:r>
                <w:r w:rsidR="0005759A">
                  <w:rPr>
                    <w:noProof/>
                    <w:webHidden/>
                  </w:rPr>
                  <w:t>- 1 -</w:t>
                </w:r>
                <w:r>
                  <w:rPr>
                    <w:noProof/>
                    <w:webHidden/>
                  </w:rPr>
                  <w:fldChar w:fldCharType="end"/>
                </w:r>
              </w:hyperlink>
            </w:p>
            <w:p w:rsidR="00223DD8" w:rsidRDefault="003C7AEB">
              <w:pPr>
                <w:pStyle w:val="TOC1"/>
                <w:tabs>
                  <w:tab w:val="left" w:pos="440"/>
                  <w:tab w:val="right" w:leader="dot" w:pos="9174"/>
                </w:tabs>
                <w:rPr>
                  <w:rFonts w:eastAsiaTheme="minorEastAsia"/>
                  <w:noProof/>
                  <w:lang w:eastAsia="en-GB"/>
                </w:rPr>
              </w:pPr>
              <w:hyperlink w:anchor="_Toc263688563" w:history="1">
                <w:r w:rsidR="00223DD8" w:rsidRPr="00F27526">
                  <w:rPr>
                    <w:rStyle w:val="Hyperlink"/>
                    <w:noProof/>
                  </w:rPr>
                  <w:t>1.</w:t>
                </w:r>
                <w:r w:rsidR="00223DD8">
                  <w:rPr>
                    <w:rFonts w:eastAsiaTheme="minorEastAsia"/>
                    <w:noProof/>
                    <w:lang w:eastAsia="en-GB"/>
                  </w:rPr>
                  <w:tab/>
                </w:r>
                <w:r w:rsidR="00223DD8" w:rsidRPr="00F27526">
                  <w:rPr>
                    <w:rStyle w:val="Hyperlink"/>
                    <w:noProof/>
                  </w:rPr>
                  <w:t>Project Background</w:t>
                </w:r>
                <w:r w:rsidR="00223DD8">
                  <w:rPr>
                    <w:noProof/>
                    <w:webHidden/>
                  </w:rPr>
                  <w:tab/>
                </w:r>
                <w:r w:rsidR="00D50FDC">
                  <w:rPr>
                    <w:noProof/>
                    <w:webHidden/>
                  </w:rPr>
                  <w:fldChar w:fldCharType="begin"/>
                </w:r>
                <w:r w:rsidR="00223DD8">
                  <w:rPr>
                    <w:noProof/>
                    <w:webHidden/>
                  </w:rPr>
                  <w:instrText xml:space="preserve"> PAGEREF _Toc263688563 \h </w:instrText>
                </w:r>
                <w:r w:rsidR="00D50FDC">
                  <w:rPr>
                    <w:noProof/>
                    <w:webHidden/>
                  </w:rPr>
                </w:r>
                <w:r w:rsidR="00D50FDC">
                  <w:rPr>
                    <w:noProof/>
                    <w:webHidden/>
                  </w:rPr>
                  <w:fldChar w:fldCharType="separate"/>
                </w:r>
                <w:r w:rsidR="0005759A">
                  <w:rPr>
                    <w:noProof/>
                    <w:webHidden/>
                  </w:rPr>
                  <w:t>- 5 -</w:t>
                </w:r>
                <w:r w:rsidR="00D50FDC">
                  <w:rPr>
                    <w:noProof/>
                    <w:webHidden/>
                  </w:rPr>
                  <w:fldChar w:fldCharType="end"/>
                </w:r>
              </w:hyperlink>
            </w:p>
            <w:p w:rsidR="00223DD8" w:rsidRDefault="003C7AEB">
              <w:pPr>
                <w:pStyle w:val="TOC2"/>
                <w:rPr>
                  <w:rFonts w:eastAsiaTheme="minorEastAsia"/>
                  <w:noProof/>
                  <w:lang w:eastAsia="en-GB"/>
                </w:rPr>
              </w:pPr>
              <w:hyperlink w:anchor="_Toc263688564" w:history="1">
                <w:r w:rsidR="00223DD8" w:rsidRPr="00F27526">
                  <w:rPr>
                    <w:rStyle w:val="Hyperlink"/>
                    <w:noProof/>
                  </w:rPr>
                  <w:t>1.1</w:t>
                </w:r>
                <w:r w:rsidR="00223DD8">
                  <w:rPr>
                    <w:rFonts w:eastAsiaTheme="minorEastAsia"/>
                    <w:noProof/>
                    <w:lang w:eastAsia="en-GB"/>
                  </w:rPr>
                  <w:tab/>
                </w:r>
                <w:r w:rsidR="00223DD8" w:rsidRPr="00F27526">
                  <w:rPr>
                    <w:rStyle w:val="Hyperlink"/>
                    <w:noProof/>
                  </w:rPr>
                  <w:t>Objectives</w:t>
                </w:r>
                <w:r w:rsidR="00223DD8">
                  <w:rPr>
                    <w:noProof/>
                    <w:webHidden/>
                  </w:rPr>
                  <w:tab/>
                </w:r>
                <w:r w:rsidR="00D50FDC">
                  <w:rPr>
                    <w:noProof/>
                    <w:webHidden/>
                  </w:rPr>
                  <w:fldChar w:fldCharType="begin"/>
                </w:r>
                <w:r w:rsidR="00223DD8">
                  <w:rPr>
                    <w:noProof/>
                    <w:webHidden/>
                  </w:rPr>
                  <w:instrText xml:space="preserve"> PAGEREF _Toc263688564 \h </w:instrText>
                </w:r>
                <w:r w:rsidR="00D50FDC">
                  <w:rPr>
                    <w:noProof/>
                    <w:webHidden/>
                  </w:rPr>
                </w:r>
                <w:r w:rsidR="00D50FDC">
                  <w:rPr>
                    <w:noProof/>
                    <w:webHidden/>
                  </w:rPr>
                  <w:fldChar w:fldCharType="separate"/>
                </w:r>
                <w:r w:rsidR="0005759A">
                  <w:rPr>
                    <w:noProof/>
                    <w:webHidden/>
                  </w:rPr>
                  <w:t>- 5 -</w:t>
                </w:r>
                <w:r w:rsidR="00D50FDC">
                  <w:rPr>
                    <w:noProof/>
                    <w:webHidden/>
                  </w:rPr>
                  <w:fldChar w:fldCharType="end"/>
                </w:r>
              </w:hyperlink>
            </w:p>
            <w:p w:rsidR="00223DD8" w:rsidRDefault="003C7AEB">
              <w:pPr>
                <w:pStyle w:val="TOC2"/>
                <w:rPr>
                  <w:rFonts w:eastAsiaTheme="minorEastAsia"/>
                  <w:noProof/>
                  <w:lang w:eastAsia="en-GB"/>
                </w:rPr>
              </w:pPr>
              <w:hyperlink w:anchor="_Toc263688565" w:history="1">
                <w:r w:rsidR="00223DD8" w:rsidRPr="00F27526">
                  <w:rPr>
                    <w:rStyle w:val="Hyperlink"/>
                    <w:noProof/>
                  </w:rPr>
                  <w:t>1.2</w:t>
                </w:r>
                <w:r w:rsidR="00223DD8">
                  <w:rPr>
                    <w:rFonts w:eastAsiaTheme="minorEastAsia"/>
                    <w:noProof/>
                    <w:lang w:eastAsia="en-GB"/>
                  </w:rPr>
                  <w:tab/>
                </w:r>
                <w:r w:rsidR="00223DD8" w:rsidRPr="00F27526">
                  <w:rPr>
                    <w:rStyle w:val="Hyperlink"/>
                    <w:noProof/>
                  </w:rPr>
                  <w:t>Market Classification</w:t>
                </w:r>
                <w:r w:rsidR="00223DD8">
                  <w:rPr>
                    <w:noProof/>
                    <w:webHidden/>
                  </w:rPr>
                  <w:tab/>
                </w:r>
                <w:r w:rsidR="00D50FDC">
                  <w:rPr>
                    <w:noProof/>
                    <w:webHidden/>
                  </w:rPr>
                  <w:fldChar w:fldCharType="begin"/>
                </w:r>
                <w:r w:rsidR="00223DD8">
                  <w:rPr>
                    <w:noProof/>
                    <w:webHidden/>
                  </w:rPr>
                  <w:instrText xml:space="preserve"> PAGEREF _Toc263688565 \h </w:instrText>
                </w:r>
                <w:r w:rsidR="00D50FDC">
                  <w:rPr>
                    <w:noProof/>
                    <w:webHidden/>
                  </w:rPr>
                </w:r>
                <w:r w:rsidR="00D50FDC">
                  <w:rPr>
                    <w:noProof/>
                    <w:webHidden/>
                  </w:rPr>
                  <w:fldChar w:fldCharType="separate"/>
                </w:r>
                <w:r w:rsidR="0005759A">
                  <w:rPr>
                    <w:noProof/>
                    <w:webHidden/>
                  </w:rPr>
                  <w:t>- 5 -</w:t>
                </w:r>
                <w:r w:rsidR="00D50FDC">
                  <w:rPr>
                    <w:noProof/>
                    <w:webHidden/>
                  </w:rPr>
                  <w:fldChar w:fldCharType="end"/>
                </w:r>
              </w:hyperlink>
            </w:p>
            <w:p w:rsidR="00223DD8" w:rsidRDefault="003C7AEB">
              <w:pPr>
                <w:pStyle w:val="TOC2"/>
                <w:rPr>
                  <w:rFonts w:eastAsiaTheme="minorEastAsia"/>
                  <w:noProof/>
                  <w:lang w:eastAsia="en-GB"/>
                </w:rPr>
              </w:pPr>
              <w:hyperlink w:anchor="_Toc263688566" w:history="1">
                <w:r w:rsidR="00223DD8" w:rsidRPr="00F27526">
                  <w:rPr>
                    <w:rStyle w:val="Hyperlink"/>
                    <w:noProof/>
                  </w:rPr>
                  <w:t>1.3</w:t>
                </w:r>
                <w:r w:rsidR="00223DD8">
                  <w:rPr>
                    <w:rFonts w:eastAsiaTheme="minorEastAsia"/>
                    <w:noProof/>
                    <w:lang w:eastAsia="en-GB"/>
                  </w:rPr>
                  <w:tab/>
                </w:r>
                <w:r w:rsidR="00223DD8" w:rsidRPr="00F27526">
                  <w:rPr>
                    <w:rStyle w:val="Hyperlink"/>
                    <w:noProof/>
                  </w:rPr>
                  <w:t>Looking at the Big Picture</w:t>
                </w:r>
                <w:r w:rsidR="00223DD8">
                  <w:rPr>
                    <w:noProof/>
                    <w:webHidden/>
                  </w:rPr>
                  <w:tab/>
                </w:r>
                <w:r w:rsidR="00D50FDC">
                  <w:rPr>
                    <w:noProof/>
                    <w:webHidden/>
                  </w:rPr>
                  <w:fldChar w:fldCharType="begin"/>
                </w:r>
                <w:r w:rsidR="00223DD8">
                  <w:rPr>
                    <w:noProof/>
                    <w:webHidden/>
                  </w:rPr>
                  <w:instrText xml:space="preserve"> PAGEREF _Toc263688566 \h </w:instrText>
                </w:r>
                <w:r w:rsidR="00D50FDC">
                  <w:rPr>
                    <w:noProof/>
                    <w:webHidden/>
                  </w:rPr>
                </w:r>
                <w:r w:rsidR="00D50FDC">
                  <w:rPr>
                    <w:noProof/>
                    <w:webHidden/>
                  </w:rPr>
                  <w:fldChar w:fldCharType="separate"/>
                </w:r>
                <w:r w:rsidR="0005759A">
                  <w:rPr>
                    <w:noProof/>
                    <w:webHidden/>
                  </w:rPr>
                  <w:t>- 6 -</w:t>
                </w:r>
                <w:r w:rsidR="00D50FDC">
                  <w:rPr>
                    <w:noProof/>
                    <w:webHidden/>
                  </w:rPr>
                  <w:fldChar w:fldCharType="end"/>
                </w:r>
              </w:hyperlink>
            </w:p>
            <w:p w:rsidR="00223DD8" w:rsidRDefault="003C7AEB">
              <w:pPr>
                <w:pStyle w:val="TOC2"/>
                <w:rPr>
                  <w:rFonts w:eastAsiaTheme="minorEastAsia"/>
                  <w:noProof/>
                  <w:lang w:eastAsia="en-GB"/>
                </w:rPr>
              </w:pPr>
              <w:hyperlink w:anchor="_Toc263688567" w:history="1">
                <w:r w:rsidR="00223DD8" w:rsidRPr="00F27526">
                  <w:rPr>
                    <w:rStyle w:val="Hyperlink"/>
                    <w:noProof/>
                  </w:rPr>
                  <w:t>1.4</w:t>
                </w:r>
                <w:r w:rsidR="00223DD8">
                  <w:rPr>
                    <w:rFonts w:eastAsiaTheme="minorEastAsia"/>
                    <w:noProof/>
                    <w:lang w:eastAsia="en-GB"/>
                  </w:rPr>
                  <w:tab/>
                </w:r>
                <w:r w:rsidR="00223DD8" w:rsidRPr="00F27526">
                  <w:rPr>
                    <w:rStyle w:val="Hyperlink"/>
                    <w:noProof/>
                  </w:rPr>
                  <w:t>The Relationships Between the Emerging Markets</w:t>
                </w:r>
                <w:r w:rsidR="00223DD8">
                  <w:rPr>
                    <w:noProof/>
                    <w:webHidden/>
                  </w:rPr>
                  <w:tab/>
                </w:r>
                <w:r w:rsidR="00D50FDC">
                  <w:rPr>
                    <w:noProof/>
                    <w:webHidden/>
                  </w:rPr>
                  <w:fldChar w:fldCharType="begin"/>
                </w:r>
                <w:r w:rsidR="00223DD8">
                  <w:rPr>
                    <w:noProof/>
                    <w:webHidden/>
                  </w:rPr>
                  <w:instrText xml:space="preserve"> PAGEREF _Toc263688567 \h </w:instrText>
                </w:r>
                <w:r w:rsidR="00D50FDC">
                  <w:rPr>
                    <w:noProof/>
                    <w:webHidden/>
                  </w:rPr>
                </w:r>
                <w:r w:rsidR="00D50FDC">
                  <w:rPr>
                    <w:noProof/>
                    <w:webHidden/>
                  </w:rPr>
                  <w:fldChar w:fldCharType="separate"/>
                </w:r>
                <w:r w:rsidR="0005759A">
                  <w:rPr>
                    <w:noProof/>
                    <w:webHidden/>
                  </w:rPr>
                  <w:t>- 11 -</w:t>
                </w:r>
                <w:r w:rsidR="00D50FDC">
                  <w:rPr>
                    <w:noProof/>
                    <w:webHidden/>
                  </w:rPr>
                  <w:fldChar w:fldCharType="end"/>
                </w:r>
              </w:hyperlink>
            </w:p>
            <w:p w:rsidR="00223DD8" w:rsidRDefault="003C7AEB">
              <w:pPr>
                <w:pStyle w:val="TOC2"/>
                <w:rPr>
                  <w:rFonts w:eastAsiaTheme="minorEastAsia"/>
                  <w:noProof/>
                  <w:lang w:eastAsia="en-GB"/>
                </w:rPr>
              </w:pPr>
              <w:hyperlink w:anchor="_Toc263688568" w:history="1">
                <w:r w:rsidR="00223DD8" w:rsidRPr="00F27526">
                  <w:rPr>
                    <w:rStyle w:val="Hyperlink"/>
                    <w:noProof/>
                  </w:rPr>
                  <w:t>1.5</w:t>
                </w:r>
                <w:r w:rsidR="00223DD8">
                  <w:rPr>
                    <w:rFonts w:eastAsiaTheme="minorEastAsia"/>
                    <w:noProof/>
                    <w:lang w:eastAsia="en-GB"/>
                  </w:rPr>
                  <w:tab/>
                </w:r>
                <w:r w:rsidR="00223DD8" w:rsidRPr="00F27526">
                  <w:rPr>
                    <w:rStyle w:val="Hyperlink"/>
                    <w:noProof/>
                  </w:rPr>
                  <w:t>The Distinction Between “Objects and Systems” and “Components”</w:t>
                </w:r>
                <w:r w:rsidR="00223DD8">
                  <w:rPr>
                    <w:noProof/>
                    <w:webHidden/>
                  </w:rPr>
                  <w:tab/>
                </w:r>
                <w:r w:rsidR="00D50FDC">
                  <w:rPr>
                    <w:noProof/>
                    <w:webHidden/>
                  </w:rPr>
                  <w:fldChar w:fldCharType="begin"/>
                </w:r>
                <w:r w:rsidR="00223DD8">
                  <w:rPr>
                    <w:noProof/>
                    <w:webHidden/>
                  </w:rPr>
                  <w:instrText xml:space="preserve"> PAGEREF _Toc263688568 \h </w:instrText>
                </w:r>
                <w:r w:rsidR="00D50FDC">
                  <w:rPr>
                    <w:noProof/>
                    <w:webHidden/>
                  </w:rPr>
                </w:r>
                <w:r w:rsidR="00D50FDC">
                  <w:rPr>
                    <w:noProof/>
                    <w:webHidden/>
                  </w:rPr>
                  <w:fldChar w:fldCharType="separate"/>
                </w:r>
                <w:r w:rsidR="0005759A">
                  <w:rPr>
                    <w:noProof/>
                    <w:webHidden/>
                  </w:rPr>
                  <w:t>- 13 -</w:t>
                </w:r>
                <w:r w:rsidR="00D50FDC">
                  <w:rPr>
                    <w:noProof/>
                    <w:webHidden/>
                  </w:rPr>
                  <w:fldChar w:fldCharType="end"/>
                </w:r>
              </w:hyperlink>
            </w:p>
            <w:p w:rsidR="00223DD8" w:rsidRDefault="003C7AEB">
              <w:pPr>
                <w:pStyle w:val="TOC2"/>
                <w:rPr>
                  <w:rFonts w:eastAsiaTheme="minorEastAsia"/>
                  <w:noProof/>
                  <w:lang w:eastAsia="en-GB"/>
                </w:rPr>
              </w:pPr>
              <w:hyperlink w:anchor="_Toc263688569" w:history="1">
                <w:r w:rsidR="00223DD8" w:rsidRPr="00F27526">
                  <w:rPr>
                    <w:rStyle w:val="Hyperlink"/>
                    <w:noProof/>
                  </w:rPr>
                  <w:t>1.6</w:t>
                </w:r>
                <w:r w:rsidR="00223DD8">
                  <w:rPr>
                    <w:rFonts w:eastAsiaTheme="minorEastAsia"/>
                    <w:noProof/>
                    <w:lang w:eastAsia="en-GB"/>
                  </w:rPr>
                  <w:tab/>
                </w:r>
                <w:r w:rsidR="00223DD8" w:rsidRPr="00F27526">
                  <w:rPr>
                    <w:rStyle w:val="Hyperlink"/>
                    <w:noProof/>
                  </w:rPr>
                  <w:t>The Preliminary Market Filter</w:t>
                </w:r>
                <w:r w:rsidR="00223DD8">
                  <w:rPr>
                    <w:noProof/>
                    <w:webHidden/>
                  </w:rPr>
                  <w:tab/>
                </w:r>
                <w:r w:rsidR="00D50FDC">
                  <w:rPr>
                    <w:noProof/>
                    <w:webHidden/>
                  </w:rPr>
                  <w:fldChar w:fldCharType="begin"/>
                </w:r>
                <w:r w:rsidR="00223DD8">
                  <w:rPr>
                    <w:noProof/>
                    <w:webHidden/>
                  </w:rPr>
                  <w:instrText xml:space="preserve"> PAGEREF _Toc263688569 \h </w:instrText>
                </w:r>
                <w:r w:rsidR="00D50FDC">
                  <w:rPr>
                    <w:noProof/>
                    <w:webHidden/>
                  </w:rPr>
                </w:r>
                <w:r w:rsidR="00D50FDC">
                  <w:rPr>
                    <w:noProof/>
                    <w:webHidden/>
                  </w:rPr>
                  <w:fldChar w:fldCharType="separate"/>
                </w:r>
                <w:r w:rsidR="0005759A">
                  <w:rPr>
                    <w:noProof/>
                    <w:webHidden/>
                  </w:rPr>
                  <w:t>- 16 -</w:t>
                </w:r>
                <w:r w:rsidR="00D50FDC">
                  <w:rPr>
                    <w:noProof/>
                    <w:webHidden/>
                  </w:rPr>
                  <w:fldChar w:fldCharType="end"/>
                </w:r>
              </w:hyperlink>
            </w:p>
            <w:p w:rsidR="00223DD8" w:rsidRDefault="003C7AEB">
              <w:pPr>
                <w:pStyle w:val="TOC2"/>
                <w:rPr>
                  <w:rFonts w:eastAsiaTheme="minorEastAsia"/>
                  <w:noProof/>
                  <w:lang w:eastAsia="en-GB"/>
                </w:rPr>
              </w:pPr>
              <w:hyperlink w:anchor="_Toc263688570" w:history="1">
                <w:r w:rsidR="00223DD8" w:rsidRPr="00F27526">
                  <w:rPr>
                    <w:rStyle w:val="Hyperlink"/>
                    <w:noProof/>
                  </w:rPr>
                  <w:t>1.7</w:t>
                </w:r>
                <w:r w:rsidR="00223DD8">
                  <w:rPr>
                    <w:rFonts w:eastAsiaTheme="minorEastAsia"/>
                    <w:noProof/>
                    <w:lang w:eastAsia="en-GB"/>
                  </w:rPr>
                  <w:tab/>
                </w:r>
                <w:r w:rsidR="00223DD8" w:rsidRPr="00F27526">
                  <w:rPr>
                    <w:rStyle w:val="Hyperlink"/>
                    <w:noProof/>
                  </w:rPr>
                  <w:t>Further Market Investigation and Forecasts</w:t>
                </w:r>
                <w:r w:rsidR="00223DD8">
                  <w:rPr>
                    <w:noProof/>
                    <w:webHidden/>
                  </w:rPr>
                  <w:tab/>
                </w:r>
                <w:r w:rsidR="00D50FDC">
                  <w:rPr>
                    <w:noProof/>
                    <w:webHidden/>
                  </w:rPr>
                  <w:fldChar w:fldCharType="begin"/>
                </w:r>
                <w:r w:rsidR="00223DD8">
                  <w:rPr>
                    <w:noProof/>
                    <w:webHidden/>
                  </w:rPr>
                  <w:instrText xml:space="preserve"> PAGEREF _Toc263688570 \h </w:instrText>
                </w:r>
                <w:r w:rsidR="00D50FDC">
                  <w:rPr>
                    <w:noProof/>
                    <w:webHidden/>
                  </w:rPr>
                </w:r>
                <w:r w:rsidR="00D50FDC">
                  <w:rPr>
                    <w:noProof/>
                    <w:webHidden/>
                  </w:rPr>
                  <w:fldChar w:fldCharType="separate"/>
                </w:r>
                <w:r w:rsidR="0005759A">
                  <w:rPr>
                    <w:noProof/>
                    <w:webHidden/>
                  </w:rPr>
                  <w:t>- 16 -</w:t>
                </w:r>
                <w:r w:rsidR="00D50FDC">
                  <w:rPr>
                    <w:noProof/>
                    <w:webHidden/>
                  </w:rPr>
                  <w:fldChar w:fldCharType="end"/>
                </w:r>
              </w:hyperlink>
            </w:p>
            <w:p w:rsidR="00223DD8" w:rsidRDefault="003C7AEB">
              <w:pPr>
                <w:pStyle w:val="TOC1"/>
                <w:tabs>
                  <w:tab w:val="left" w:pos="440"/>
                  <w:tab w:val="right" w:leader="dot" w:pos="9174"/>
                </w:tabs>
                <w:rPr>
                  <w:rFonts w:eastAsiaTheme="minorEastAsia"/>
                  <w:noProof/>
                  <w:lang w:eastAsia="en-GB"/>
                </w:rPr>
              </w:pPr>
              <w:hyperlink w:anchor="_Toc263688571" w:history="1">
                <w:r w:rsidR="00223DD8" w:rsidRPr="00F27526">
                  <w:rPr>
                    <w:rStyle w:val="Hyperlink"/>
                    <w:noProof/>
                  </w:rPr>
                  <w:t>2.</w:t>
                </w:r>
                <w:r w:rsidR="00223DD8">
                  <w:rPr>
                    <w:rFonts w:eastAsiaTheme="minorEastAsia"/>
                    <w:noProof/>
                    <w:lang w:eastAsia="en-GB"/>
                  </w:rPr>
                  <w:tab/>
                </w:r>
                <w:r w:rsidR="00223DD8" w:rsidRPr="00F27526">
                  <w:rPr>
                    <w:rStyle w:val="Hyperlink"/>
                    <w:noProof/>
                  </w:rPr>
                  <w:t>Transport Markets</w:t>
                </w:r>
                <w:r w:rsidR="00223DD8">
                  <w:rPr>
                    <w:noProof/>
                    <w:webHidden/>
                  </w:rPr>
                  <w:tab/>
                </w:r>
                <w:r w:rsidR="00D50FDC">
                  <w:rPr>
                    <w:noProof/>
                    <w:webHidden/>
                  </w:rPr>
                  <w:fldChar w:fldCharType="begin"/>
                </w:r>
                <w:r w:rsidR="00223DD8">
                  <w:rPr>
                    <w:noProof/>
                    <w:webHidden/>
                  </w:rPr>
                  <w:instrText xml:space="preserve"> PAGEREF _Toc263688571 \h </w:instrText>
                </w:r>
                <w:r w:rsidR="00D50FDC">
                  <w:rPr>
                    <w:noProof/>
                    <w:webHidden/>
                  </w:rPr>
                </w:r>
                <w:r w:rsidR="00D50FDC">
                  <w:rPr>
                    <w:noProof/>
                    <w:webHidden/>
                  </w:rPr>
                  <w:fldChar w:fldCharType="separate"/>
                </w:r>
                <w:r w:rsidR="0005759A">
                  <w:rPr>
                    <w:noProof/>
                    <w:webHidden/>
                  </w:rPr>
                  <w:t>- 19 -</w:t>
                </w:r>
                <w:r w:rsidR="00D50FDC">
                  <w:rPr>
                    <w:noProof/>
                    <w:webHidden/>
                  </w:rPr>
                  <w:fldChar w:fldCharType="end"/>
                </w:r>
              </w:hyperlink>
            </w:p>
            <w:p w:rsidR="00223DD8" w:rsidRDefault="003C7AEB">
              <w:pPr>
                <w:pStyle w:val="TOC2"/>
                <w:rPr>
                  <w:rFonts w:eastAsiaTheme="minorEastAsia"/>
                  <w:noProof/>
                  <w:lang w:eastAsia="en-GB"/>
                </w:rPr>
              </w:pPr>
              <w:hyperlink w:anchor="_Toc263688572" w:history="1">
                <w:r w:rsidR="00223DD8" w:rsidRPr="00F27526">
                  <w:rPr>
                    <w:rStyle w:val="Hyperlink"/>
                    <w:noProof/>
                  </w:rPr>
                  <w:t>2.1</w:t>
                </w:r>
                <w:r w:rsidR="00223DD8">
                  <w:rPr>
                    <w:rFonts w:eastAsiaTheme="minorEastAsia"/>
                    <w:noProof/>
                    <w:lang w:eastAsia="en-GB"/>
                  </w:rPr>
                  <w:tab/>
                </w:r>
                <w:r w:rsidR="00223DD8" w:rsidRPr="00F27526">
                  <w:rPr>
                    <w:rStyle w:val="Hyperlink"/>
                    <w:noProof/>
                  </w:rPr>
                  <w:t>Market Summary</w:t>
                </w:r>
                <w:r w:rsidR="00223DD8">
                  <w:rPr>
                    <w:noProof/>
                    <w:webHidden/>
                  </w:rPr>
                  <w:tab/>
                </w:r>
                <w:r w:rsidR="00D50FDC">
                  <w:rPr>
                    <w:noProof/>
                    <w:webHidden/>
                  </w:rPr>
                  <w:fldChar w:fldCharType="begin"/>
                </w:r>
                <w:r w:rsidR="00223DD8">
                  <w:rPr>
                    <w:noProof/>
                    <w:webHidden/>
                  </w:rPr>
                  <w:instrText xml:space="preserve"> PAGEREF _Toc263688572 \h </w:instrText>
                </w:r>
                <w:r w:rsidR="00D50FDC">
                  <w:rPr>
                    <w:noProof/>
                    <w:webHidden/>
                  </w:rPr>
                </w:r>
                <w:r w:rsidR="00D50FDC">
                  <w:rPr>
                    <w:noProof/>
                    <w:webHidden/>
                  </w:rPr>
                  <w:fldChar w:fldCharType="separate"/>
                </w:r>
                <w:r w:rsidR="0005759A">
                  <w:rPr>
                    <w:noProof/>
                    <w:webHidden/>
                  </w:rPr>
                  <w:t>- 19 -</w:t>
                </w:r>
                <w:r w:rsidR="00D50FDC">
                  <w:rPr>
                    <w:noProof/>
                    <w:webHidden/>
                  </w:rPr>
                  <w:fldChar w:fldCharType="end"/>
                </w:r>
              </w:hyperlink>
            </w:p>
            <w:p w:rsidR="00223DD8" w:rsidRDefault="003C7AEB">
              <w:pPr>
                <w:pStyle w:val="TOC2"/>
                <w:rPr>
                  <w:rFonts w:eastAsiaTheme="minorEastAsia"/>
                  <w:noProof/>
                  <w:lang w:eastAsia="en-GB"/>
                </w:rPr>
              </w:pPr>
              <w:hyperlink w:anchor="_Toc263688573" w:history="1">
                <w:r w:rsidR="00223DD8" w:rsidRPr="00F27526">
                  <w:rPr>
                    <w:rStyle w:val="Hyperlink"/>
                    <w:noProof/>
                  </w:rPr>
                  <w:t>2.2</w:t>
                </w:r>
                <w:r w:rsidR="00223DD8">
                  <w:rPr>
                    <w:rFonts w:eastAsiaTheme="minorEastAsia"/>
                    <w:noProof/>
                    <w:lang w:eastAsia="en-GB"/>
                  </w:rPr>
                  <w:tab/>
                </w:r>
                <w:r w:rsidR="00223DD8" w:rsidRPr="00F27526">
                  <w:rPr>
                    <w:rStyle w:val="Hyperlink"/>
                    <w:noProof/>
                  </w:rPr>
                  <w:t>Road Vehicles</w:t>
                </w:r>
                <w:r w:rsidR="00223DD8">
                  <w:rPr>
                    <w:noProof/>
                    <w:webHidden/>
                  </w:rPr>
                  <w:tab/>
                </w:r>
                <w:r w:rsidR="00D50FDC">
                  <w:rPr>
                    <w:noProof/>
                    <w:webHidden/>
                  </w:rPr>
                  <w:fldChar w:fldCharType="begin"/>
                </w:r>
                <w:r w:rsidR="00223DD8">
                  <w:rPr>
                    <w:noProof/>
                    <w:webHidden/>
                  </w:rPr>
                  <w:instrText xml:space="preserve"> PAGEREF _Toc263688573 \h </w:instrText>
                </w:r>
                <w:r w:rsidR="00D50FDC">
                  <w:rPr>
                    <w:noProof/>
                    <w:webHidden/>
                  </w:rPr>
                </w:r>
                <w:r w:rsidR="00D50FDC">
                  <w:rPr>
                    <w:noProof/>
                    <w:webHidden/>
                  </w:rPr>
                  <w:fldChar w:fldCharType="separate"/>
                </w:r>
                <w:r w:rsidR="0005759A">
                  <w:rPr>
                    <w:noProof/>
                    <w:webHidden/>
                  </w:rPr>
                  <w:t>- 19 -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74" w:history="1">
                <w:r w:rsidR="00223DD8" w:rsidRPr="00F27526">
                  <w:rPr>
                    <w:rStyle w:val="Hyperlink"/>
                    <w:noProof/>
                  </w:rPr>
                  <w:t>2.2.1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_Toc263688574 \h </w:instrText>
                </w:r>
                <w:r w:rsidR="00D50FDC">
                  <w:rPr>
                    <w:noProof/>
                    <w:webHidden/>
                  </w:rPr>
                </w:r>
                <w:r w:rsidR="00D50FDC">
                  <w:rPr>
                    <w:noProof/>
                    <w:webHidden/>
                  </w:rPr>
                  <w:fldChar w:fldCharType="separate"/>
                </w:r>
                <w:r w:rsidR="0005759A">
                  <w:rPr>
                    <w:noProof/>
                    <w:webHidden/>
                  </w:rPr>
                  <w:t>- 19 -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75" w:history="1">
                <w:r w:rsidR="00223DD8" w:rsidRPr="00F27526">
                  <w:rPr>
                    <w:rStyle w:val="Hyperlink"/>
                    <w:noProof/>
                  </w:rPr>
                  <w:t>2.2.2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_Toc263688575 \h </w:instrText>
                </w:r>
                <w:r w:rsidR="00D50FDC">
                  <w:rPr>
                    <w:noProof/>
                    <w:webHidden/>
                  </w:rPr>
                </w:r>
                <w:r w:rsidR="00D50FDC">
                  <w:rPr>
                    <w:noProof/>
                    <w:webHidden/>
                  </w:rPr>
                  <w:fldChar w:fldCharType="separate"/>
                </w:r>
                <w:r w:rsidR="0005759A">
                  <w:rPr>
                    <w:noProof/>
                    <w:webHidden/>
                  </w:rPr>
                  <w:t>- 20 -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76" w:history="1">
                <w:r w:rsidR="00223DD8" w:rsidRPr="00F27526">
                  <w:rPr>
                    <w:rStyle w:val="Hyperlink"/>
                    <w:noProof/>
                  </w:rPr>
                  <w:t>2.2.3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_Toc263688576 \h </w:instrText>
                </w:r>
                <w:r w:rsidR="00D50FDC">
                  <w:rPr>
                    <w:noProof/>
                    <w:webHidden/>
                  </w:rPr>
                </w:r>
                <w:r w:rsidR="00D50FDC">
                  <w:rPr>
                    <w:noProof/>
                    <w:webHidden/>
                  </w:rPr>
                  <w:fldChar w:fldCharType="separate"/>
                </w:r>
                <w:r w:rsidR="0005759A">
                  <w:rPr>
                    <w:noProof/>
                    <w:webHidden/>
                  </w:rPr>
                  <w:t>- 23 -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77" w:history="1">
                <w:r w:rsidR="00223DD8" w:rsidRPr="00F27526">
                  <w:rPr>
                    <w:rStyle w:val="Hyperlink"/>
                    <w:noProof/>
                  </w:rPr>
                  <w:t>2.2.4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_Toc263688577 \h </w:instrText>
                </w:r>
                <w:r w:rsidR="00D50FDC">
                  <w:rPr>
                    <w:noProof/>
                    <w:webHidden/>
                  </w:rPr>
                </w:r>
                <w:r w:rsidR="00D50FDC">
                  <w:rPr>
                    <w:noProof/>
                    <w:webHidden/>
                  </w:rPr>
                  <w:fldChar w:fldCharType="separate"/>
                </w:r>
                <w:r w:rsidR="0005759A">
                  <w:rPr>
                    <w:noProof/>
                    <w:webHidden/>
                  </w:rPr>
                  <w:t>- 31 -</w:t>
                </w:r>
                <w:r w:rsidR="00D50FDC">
                  <w:rPr>
                    <w:noProof/>
                    <w:webHidden/>
                  </w:rPr>
                  <w:fldChar w:fldCharType="end"/>
                </w:r>
              </w:hyperlink>
            </w:p>
            <w:p w:rsidR="00223DD8" w:rsidRDefault="003C7AEB">
              <w:pPr>
                <w:pStyle w:val="TOC2"/>
                <w:rPr>
                  <w:rFonts w:eastAsiaTheme="minorEastAsia"/>
                  <w:noProof/>
                  <w:lang w:eastAsia="en-GB"/>
                </w:rPr>
              </w:pPr>
              <w:hyperlink w:anchor="_Toc263688578" w:history="1">
                <w:r w:rsidR="00223DD8" w:rsidRPr="00F27526">
                  <w:rPr>
                    <w:rStyle w:val="Hyperlink"/>
                    <w:noProof/>
                  </w:rPr>
                  <w:t>2.3</w:t>
                </w:r>
                <w:r w:rsidR="00223DD8">
                  <w:rPr>
                    <w:rFonts w:eastAsiaTheme="minorEastAsia"/>
                    <w:noProof/>
                    <w:lang w:eastAsia="en-GB"/>
                  </w:rPr>
                  <w:tab/>
                </w:r>
                <w:r w:rsidR="00223DD8" w:rsidRPr="00F27526">
                  <w:rPr>
                    <w:rStyle w:val="Hyperlink"/>
                    <w:noProof/>
                  </w:rPr>
                  <w:t>Railways, Mass Transit Systems and the Marine Market</w:t>
                </w:r>
                <w:r w:rsidR="00223DD8">
                  <w:rPr>
                    <w:noProof/>
                    <w:webHidden/>
                  </w:rPr>
                  <w:tab/>
                </w:r>
                <w:r w:rsidR="00D50FDC">
                  <w:rPr>
                    <w:noProof/>
                    <w:webHidden/>
                  </w:rPr>
                  <w:fldChar w:fldCharType="begin"/>
                </w:r>
                <w:r w:rsidR="00223DD8">
                  <w:rPr>
                    <w:noProof/>
                    <w:webHidden/>
                  </w:rPr>
                  <w:instrText xml:space="preserve"> PAGEREF _Toc263688578 \h </w:instrText>
                </w:r>
                <w:r w:rsidR="00D50FDC">
                  <w:rPr>
                    <w:noProof/>
                    <w:webHidden/>
                  </w:rPr>
                </w:r>
                <w:r w:rsidR="00D50FDC">
                  <w:rPr>
                    <w:noProof/>
                    <w:webHidden/>
                  </w:rPr>
                  <w:fldChar w:fldCharType="separate"/>
                </w:r>
                <w:r w:rsidR="0005759A">
                  <w:rPr>
                    <w:noProof/>
                    <w:webHidden/>
                  </w:rPr>
                  <w:t>- 40 -</w:t>
                </w:r>
                <w:r w:rsidR="00D50FDC">
                  <w:rPr>
                    <w:noProof/>
                    <w:webHidden/>
                  </w:rPr>
                  <w:fldChar w:fldCharType="end"/>
                </w:r>
              </w:hyperlink>
            </w:p>
            <w:p w:rsidR="00223DD8" w:rsidRDefault="003C7AEB">
              <w:pPr>
                <w:pStyle w:val="TOC1"/>
                <w:tabs>
                  <w:tab w:val="left" w:pos="440"/>
                  <w:tab w:val="right" w:leader="dot" w:pos="9174"/>
                </w:tabs>
                <w:rPr>
                  <w:rFonts w:eastAsiaTheme="minorEastAsia"/>
                  <w:noProof/>
                  <w:lang w:eastAsia="en-GB"/>
                </w:rPr>
              </w:pPr>
              <w:hyperlink w:anchor="_Toc263688579" w:history="1">
                <w:r w:rsidR="00223DD8" w:rsidRPr="00F27526">
                  <w:rPr>
                    <w:rStyle w:val="Hyperlink"/>
                    <w:noProof/>
                  </w:rPr>
                  <w:t>3.</w:t>
                </w:r>
                <w:r w:rsidR="00223DD8">
                  <w:rPr>
                    <w:rFonts w:eastAsiaTheme="minorEastAsia"/>
                    <w:noProof/>
                    <w:lang w:eastAsia="en-GB"/>
                  </w:rPr>
                  <w:tab/>
                </w:r>
                <w:r w:rsidR="00223DD8" w:rsidRPr="00F27526">
                  <w:rPr>
                    <w:rStyle w:val="Hyperlink"/>
                    <w:noProof/>
                  </w:rPr>
                  <w:t>Energy Infrastructure</w:t>
                </w:r>
                <w:r w:rsidR="00223DD8">
                  <w:rPr>
                    <w:noProof/>
                    <w:webHidden/>
                  </w:rPr>
                  <w:tab/>
                </w:r>
                <w:r w:rsidR="00D50FDC">
                  <w:rPr>
                    <w:noProof/>
                    <w:webHidden/>
                  </w:rPr>
                  <w:fldChar w:fldCharType="begin"/>
                </w:r>
                <w:r w:rsidR="00223DD8">
                  <w:rPr>
                    <w:noProof/>
                    <w:webHidden/>
                  </w:rPr>
                  <w:instrText xml:space="preserve"> PAGEREF _Toc263688579 \h </w:instrText>
                </w:r>
                <w:r w:rsidR="00D50FDC">
                  <w:rPr>
                    <w:noProof/>
                    <w:webHidden/>
                  </w:rPr>
                </w:r>
                <w:r w:rsidR="00D50FDC">
                  <w:rPr>
                    <w:noProof/>
                    <w:webHidden/>
                  </w:rPr>
                  <w:fldChar w:fldCharType="separate"/>
                </w:r>
                <w:r w:rsidR="0005759A">
                  <w:rPr>
                    <w:noProof/>
                    <w:webHidden/>
                  </w:rPr>
                  <w:t>- 45 -</w:t>
                </w:r>
                <w:r w:rsidR="00D50FDC">
                  <w:rPr>
                    <w:noProof/>
                    <w:webHidden/>
                  </w:rPr>
                  <w:fldChar w:fldCharType="end"/>
                </w:r>
              </w:hyperlink>
            </w:p>
            <w:p w:rsidR="00223DD8" w:rsidRDefault="003C7AEB">
              <w:pPr>
                <w:pStyle w:val="TOC2"/>
                <w:rPr>
                  <w:rFonts w:eastAsiaTheme="minorEastAsia"/>
                  <w:noProof/>
                  <w:lang w:eastAsia="en-GB"/>
                </w:rPr>
              </w:pPr>
              <w:hyperlink w:anchor="_Toc263688580" w:history="1">
                <w:r w:rsidR="00223DD8" w:rsidRPr="00F27526">
                  <w:rPr>
                    <w:rStyle w:val="Hyperlink"/>
                    <w:noProof/>
                  </w:rPr>
                  <w:t>3.1</w:t>
                </w:r>
                <w:r w:rsidR="00223DD8">
                  <w:rPr>
                    <w:rFonts w:eastAsiaTheme="minorEastAsia"/>
                    <w:noProof/>
                    <w:lang w:eastAsia="en-GB"/>
                  </w:rPr>
                  <w:tab/>
                </w:r>
                <w:r w:rsidR="00223DD8" w:rsidRPr="00F27526">
                  <w:rPr>
                    <w:rStyle w:val="Hyperlink"/>
                    <w:noProof/>
                  </w:rPr>
                  <w:t>Market Summary</w:t>
                </w:r>
                <w:r w:rsidR="00223DD8">
                  <w:rPr>
                    <w:noProof/>
                    <w:webHidden/>
                  </w:rPr>
                  <w:tab/>
                </w:r>
                <w:r w:rsidR="00D50FDC">
                  <w:rPr>
                    <w:noProof/>
                    <w:webHidden/>
                  </w:rPr>
                  <w:fldChar w:fldCharType="begin"/>
                </w:r>
                <w:r w:rsidR="00223DD8">
                  <w:rPr>
                    <w:noProof/>
                    <w:webHidden/>
                  </w:rPr>
                  <w:instrText xml:space="preserve"> PAGEREF _Toc263688580 \h </w:instrText>
                </w:r>
                <w:r w:rsidR="00D50FDC">
                  <w:rPr>
                    <w:noProof/>
                    <w:webHidden/>
                  </w:rPr>
                </w:r>
                <w:r w:rsidR="00D50FDC">
                  <w:rPr>
                    <w:noProof/>
                    <w:webHidden/>
                  </w:rPr>
                  <w:fldChar w:fldCharType="separate"/>
                </w:r>
                <w:r w:rsidR="0005759A">
                  <w:rPr>
                    <w:noProof/>
                    <w:webHidden/>
                  </w:rPr>
                  <w:t>- 45 -</w:t>
                </w:r>
                <w:r w:rsidR="00D50FDC">
                  <w:rPr>
                    <w:noProof/>
                    <w:webHidden/>
                  </w:rPr>
                  <w:fldChar w:fldCharType="end"/>
                </w:r>
              </w:hyperlink>
            </w:p>
            <w:p w:rsidR="00223DD8" w:rsidRDefault="003C7AEB">
              <w:pPr>
                <w:pStyle w:val="TOC2"/>
                <w:rPr>
                  <w:rFonts w:eastAsiaTheme="minorEastAsia"/>
                  <w:noProof/>
                  <w:lang w:eastAsia="en-GB"/>
                </w:rPr>
              </w:pPr>
              <w:hyperlink w:anchor="_Toc263688581" w:history="1">
                <w:r w:rsidR="00223DD8" w:rsidRPr="00F27526">
                  <w:rPr>
                    <w:rStyle w:val="Hyperlink"/>
                    <w:noProof/>
                  </w:rPr>
                  <w:t>3.2</w:t>
                </w:r>
                <w:r w:rsidR="00223DD8">
                  <w:rPr>
                    <w:rFonts w:eastAsiaTheme="minorEastAsia"/>
                    <w:noProof/>
                    <w:lang w:eastAsia="en-GB"/>
                  </w:rPr>
                  <w:tab/>
                </w:r>
                <w:r w:rsidR="00223DD8" w:rsidRPr="00F27526">
                  <w:rPr>
                    <w:rStyle w:val="Hyperlink"/>
                    <w:noProof/>
                  </w:rPr>
                  <w:t>Renewable Energy in Context</w:t>
                </w:r>
                <w:r w:rsidR="00223DD8">
                  <w:rPr>
                    <w:noProof/>
                    <w:webHidden/>
                  </w:rPr>
                  <w:tab/>
                </w:r>
                <w:r w:rsidR="00D50FDC">
                  <w:rPr>
                    <w:noProof/>
                    <w:webHidden/>
                  </w:rPr>
                  <w:fldChar w:fldCharType="begin"/>
                </w:r>
                <w:r w:rsidR="00223DD8">
                  <w:rPr>
                    <w:noProof/>
                    <w:webHidden/>
                  </w:rPr>
                  <w:instrText xml:space="preserve"> PAGEREF _Toc263688581 \h </w:instrText>
                </w:r>
                <w:r w:rsidR="00D50FDC">
                  <w:rPr>
                    <w:noProof/>
                    <w:webHidden/>
                  </w:rPr>
                </w:r>
                <w:r w:rsidR="00D50FDC">
                  <w:rPr>
                    <w:noProof/>
                    <w:webHidden/>
                  </w:rPr>
                  <w:fldChar w:fldCharType="separate"/>
                </w:r>
                <w:r w:rsidR="0005759A">
                  <w:rPr>
                    <w:noProof/>
                    <w:webHidden/>
                  </w:rPr>
                  <w:t>- 45 -</w:t>
                </w:r>
                <w:r w:rsidR="00D50FDC">
                  <w:rPr>
                    <w:noProof/>
                    <w:webHidden/>
                  </w:rPr>
                  <w:fldChar w:fldCharType="end"/>
                </w:r>
              </w:hyperlink>
            </w:p>
            <w:p w:rsidR="00223DD8" w:rsidRDefault="003C7AEB">
              <w:pPr>
                <w:pStyle w:val="TOC2"/>
                <w:rPr>
                  <w:rFonts w:eastAsiaTheme="minorEastAsia"/>
                  <w:noProof/>
                  <w:lang w:eastAsia="en-GB"/>
                </w:rPr>
              </w:pPr>
              <w:hyperlink w:anchor="_Toc263688582" w:history="1">
                <w:r w:rsidR="00223DD8" w:rsidRPr="00F27526">
                  <w:rPr>
                    <w:rStyle w:val="Hyperlink"/>
                    <w:noProof/>
                  </w:rPr>
                  <w:t>3.3</w:t>
                </w:r>
                <w:r w:rsidR="00223DD8">
                  <w:rPr>
                    <w:rFonts w:eastAsiaTheme="minorEastAsia"/>
                    <w:noProof/>
                    <w:lang w:eastAsia="en-GB"/>
                  </w:rPr>
                  <w:tab/>
                </w:r>
                <w:r w:rsidR="00223DD8" w:rsidRPr="00F27526">
                  <w:rPr>
                    <w:rStyle w:val="Hyperlink"/>
                    <w:noProof/>
                  </w:rPr>
                  <w:t>Wind Energy Generation</w:t>
                </w:r>
                <w:r w:rsidR="00223DD8">
                  <w:rPr>
                    <w:noProof/>
                    <w:webHidden/>
                  </w:rPr>
                  <w:tab/>
                </w:r>
                <w:r w:rsidR="00D50FDC">
                  <w:rPr>
                    <w:noProof/>
                    <w:webHidden/>
                  </w:rPr>
                  <w:fldChar w:fldCharType="begin"/>
                </w:r>
                <w:r w:rsidR="00223DD8">
                  <w:rPr>
                    <w:noProof/>
                    <w:webHidden/>
                  </w:rPr>
                  <w:instrText xml:space="preserve"> PAGEREF _Toc263688582 \h </w:instrText>
                </w:r>
                <w:r w:rsidR="00D50FDC">
                  <w:rPr>
                    <w:noProof/>
                    <w:webHidden/>
                  </w:rPr>
                </w:r>
                <w:r w:rsidR="00D50FDC">
                  <w:rPr>
                    <w:noProof/>
                    <w:webHidden/>
                  </w:rPr>
                  <w:fldChar w:fldCharType="separate"/>
                </w:r>
                <w:r w:rsidR="0005759A">
                  <w:rPr>
                    <w:noProof/>
                    <w:webHidden/>
                  </w:rPr>
                  <w:t>- 47 -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3" w:history="1">
                <w:r w:rsidR="00223DD8" w:rsidRPr="00F27526">
                  <w:rPr>
                    <w:rStyle w:val="Hyperlink"/>
                    <w:noProof/>
                  </w:rPr>
                  <w:t>3.3.1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_Toc263688583 \h </w:instrText>
                </w:r>
                <w:r w:rsidR="00D50FDC">
                  <w:rPr>
                    <w:noProof/>
                    <w:webHidden/>
                  </w:rPr>
                </w:r>
                <w:r w:rsidR="00D50FDC">
                  <w:rPr>
                    <w:noProof/>
                    <w:webHidden/>
                  </w:rPr>
                  <w:fldChar w:fldCharType="separate"/>
                </w:r>
                <w:r w:rsidR="0005759A">
                  <w:rPr>
                    <w:noProof/>
                    <w:webHidden/>
                  </w:rPr>
                  <w:t>- 47 -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4" w:history="1">
                <w:r w:rsidR="00223DD8" w:rsidRPr="00F27526">
                  <w:rPr>
                    <w:rStyle w:val="Hyperlink"/>
                    <w:noProof/>
                  </w:rPr>
                  <w:t>3.3.2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_Toc263688584 \h </w:instrText>
                </w:r>
                <w:r w:rsidR="00D50FDC">
                  <w:rPr>
                    <w:noProof/>
                    <w:webHidden/>
                  </w:rPr>
                </w:r>
                <w:r w:rsidR="00D50FDC">
                  <w:rPr>
                    <w:noProof/>
                    <w:webHidden/>
                  </w:rPr>
                  <w:fldChar w:fldCharType="separate"/>
                </w:r>
                <w:r w:rsidR="0005759A">
                  <w:rPr>
                    <w:noProof/>
                    <w:webHidden/>
                  </w:rPr>
                  <w:t>- 49 -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5" w:history="1">
                <w:r w:rsidR="00223DD8" w:rsidRPr="00F27526">
                  <w:rPr>
                    <w:rStyle w:val="Hyperlink"/>
                    <w:noProof/>
                  </w:rPr>
                  <w:t>3.3.3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_Toc263688585 \h </w:instrText>
                </w:r>
                <w:r w:rsidR="00D50FDC">
                  <w:rPr>
                    <w:noProof/>
                    <w:webHidden/>
                  </w:rPr>
                </w:r>
                <w:r w:rsidR="00D50FDC">
                  <w:rPr>
                    <w:noProof/>
                    <w:webHidden/>
                  </w:rPr>
                  <w:fldChar w:fldCharType="separate"/>
                </w:r>
                <w:r w:rsidR="0005759A">
                  <w:rPr>
                    <w:noProof/>
                    <w:webHidden/>
                  </w:rPr>
                  <w:t>- 53 -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6" w:history="1">
                <w:r w:rsidR="00223DD8" w:rsidRPr="00F27526">
                  <w:rPr>
                    <w:rStyle w:val="Hyperlink"/>
                    <w:noProof/>
                  </w:rPr>
                  <w:t>3.3.4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_Toc263688586 \h </w:instrText>
                </w:r>
                <w:r w:rsidR="00D50FDC">
                  <w:rPr>
                    <w:noProof/>
                    <w:webHidden/>
                  </w:rPr>
                </w:r>
                <w:r w:rsidR="00D50FDC">
                  <w:rPr>
                    <w:noProof/>
                    <w:webHidden/>
                  </w:rPr>
                  <w:fldChar w:fldCharType="separate"/>
                </w:r>
                <w:r w:rsidR="0005759A">
                  <w:rPr>
                    <w:noProof/>
                    <w:webHidden/>
                  </w:rPr>
                  <w:t>- 55 -</w:t>
                </w:r>
                <w:r w:rsidR="00D50FDC">
                  <w:rPr>
                    <w:noProof/>
                    <w:webHidden/>
                  </w:rPr>
                  <w:fldChar w:fldCharType="end"/>
                </w:r>
              </w:hyperlink>
            </w:p>
            <w:p w:rsidR="00223DD8" w:rsidRDefault="003C7AEB">
              <w:pPr>
                <w:pStyle w:val="TOC2"/>
                <w:rPr>
                  <w:rFonts w:eastAsiaTheme="minorEastAsia"/>
                  <w:noProof/>
                  <w:lang w:eastAsia="en-GB"/>
                </w:rPr>
              </w:pPr>
              <w:hyperlink w:anchor="_Toc263688587" w:history="1">
                <w:r w:rsidR="00223DD8" w:rsidRPr="00F27526">
                  <w:rPr>
                    <w:rStyle w:val="Hyperlink"/>
                    <w:noProof/>
                  </w:rPr>
                  <w:t>3.4</w:t>
                </w:r>
                <w:r w:rsidR="00223DD8">
                  <w:rPr>
                    <w:rFonts w:eastAsiaTheme="minorEastAsia"/>
                    <w:noProof/>
                    <w:lang w:eastAsia="en-GB"/>
                  </w:rPr>
                  <w:tab/>
                </w:r>
                <w:r w:rsidR="00223DD8" w:rsidRPr="00F27526">
                  <w:rPr>
                    <w:rStyle w:val="Hyperlink"/>
                    <w:noProof/>
                  </w:rPr>
                  <w:t>Solar Photovoltaic Electricity Generation</w:t>
                </w:r>
                <w:r w:rsidR="00223DD8">
                  <w:rPr>
                    <w:noProof/>
                    <w:webHidden/>
                  </w:rPr>
                  <w:tab/>
                </w:r>
                <w:r w:rsidR="00D50FDC">
                  <w:rPr>
                    <w:noProof/>
                    <w:webHidden/>
                  </w:rPr>
                  <w:fldChar w:fldCharType="begin"/>
                </w:r>
                <w:r w:rsidR="00223DD8">
                  <w:rPr>
                    <w:noProof/>
                    <w:webHidden/>
                  </w:rPr>
                  <w:instrText xml:space="preserve"> PAGEREF _Toc263688587 \h </w:instrText>
                </w:r>
                <w:r w:rsidR="00D50FDC">
                  <w:rPr>
                    <w:noProof/>
                    <w:webHidden/>
                  </w:rPr>
                </w:r>
                <w:r w:rsidR="00D50FDC">
                  <w:rPr>
                    <w:noProof/>
                    <w:webHidden/>
                  </w:rPr>
                  <w:fldChar w:fldCharType="separate"/>
                </w:r>
                <w:r w:rsidR="0005759A">
                  <w:rPr>
                    <w:noProof/>
                    <w:webHidden/>
                  </w:rPr>
                  <w:t>- 57 -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8" w:history="1">
                <w:r w:rsidR="00223DD8" w:rsidRPr="00F27526">
                  <w:rPr>
                    <w:rStyle w:val="Hyperlink"/>
                    <w:noProof/>
                  </w:rPr>
                  <w:t>3.4.1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_Toc263688588 \h </w:instrText>
                </w:r>
                <w:r w:rsidR="00D50FDC">
                  <w:rPr>
                    <w:noProof/>
                    <w:webHidden/>
                  </w:rPr>
                </w:r>
                <w:r w:rsidR="00D50FDC">
                  <w:rPr>
                    <w:noProof/>
                    <w:webHidden/>
                  </w:rPr>
                  <w:fldChar w:fldCharType="separate"/>
                </w:r>
                <w:r w:rsidR="0005759A">
                  <w:rPr>
                    <w:noProof/>
                    <w:webHidden/>
                  </w:rPr>
                  <w:t>- 57 -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89" w:history="1">
                <w:r w:rsidR="00223DD8" w:rsidRPr="00F27526">
                  <w:rPr>
                    <w:rStyle w:val="Hyperlink"/>
                    <w:noProof/>
                  </w:rPr>
                  <w:t>3.4.2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_Toc263688589 \h </w:instrText>
                </w:r>
                <w:r w:rsidR="00D50FDC">
                  <w:rPr>
                    <w:noProof/>
                    <w:webHidden/>
                  </w:rPr>
                </w:r>
                <w:r w:rsidR="00D50FDC">
                  <w:rPr>
                    <w:noProof/>
                    <w:webHidden/>
                  </w:rPr>
                  <w:fldChar w:fldCharType="separate"/>
                </w:r>
                <w:r w:rsidR="0005759A">
                  <w:rPr>
                    <w:noProof/>
                    <w:webHidden/>
                  </w:rPr>
                  <w:t>- 57 -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0" w:history="1">
                <w:r w:rsidR="00223DD8" w:rsidRPr="00F27526">
                  <w:rPr>
                    <w:rStyle w:val="Hyperlink"/>
                    <w:noProof/>
                  </w:rPr>
                  <w:t>3.4.3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_Toc263688590 \h </w:instrText>
                </w:r>
                <w:r w:rsidR="00D50FDC">
                  <w:rPr>
                    <w:noProof/>
                    <w:webHidden/>
                  </w:rPr>
                </w:r>
                <w:r w:rsidR="00D50FDC">
                  <w:rPr>
                    <w:noProof/>
                    <w:webHidden/>
                  </w:rPr>
                  <w:fldChar w:fldCharType="separate"/>
                </w:r>
                <w:r w:rsidR="0005759A">
                  <w:rPr>
                    <w:noProof/>
                    <w:webHidden/>
                  </w:rPr>
                  <w:t>- 60 -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1" w:history="1">
                <w:r w:rsidR="00223DD8" w:rsidRPr="00F27526">
                  <w:rPr>
                    <w:rStyle w:val="Hyperlink"/>
                    <w:noProof/>
                  </w:rPr>
                  <w:t>3.4.4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_Toc263688591 \h </w:instrText>
                </w:r>
                <w:r w:rsidR="00D50FDC">
                  <w:rPr>
                    <w:noProof/>
                    <w:webHidden/>
                  </w:rPr>
                </w:r>
                <w:r w:rsidR="00D50FDC">
                  <w:rPr>
                    <w:noProof/>
                    <w:webHidden/>
                  </w:rPr>
                  <w:fldChar w:fldCharType="separate"/>
                </w:r>
                <w:r w:rsidR="0005759A">
                  <w:rPr>
                    <w:noProof/>
                    <w:webHidden/>
                  </w:rPr>
                  <w:t>- 63 -</w:t>
                </w:r>
                <w:r w:rsidR="00D50FDC">
                  <w:rPr>
                    <w:noProof/>
                    <w:webHidden/>
                  </w:rPr>
                  <w:fldChar w:fldCharType="end"/>
                </w:r>
              </w:hyperlink>
            </w:p>
            <w:p w:rsidR="00223DD8" w:rsidRDefault="003C7AEB">
              <w:pPr>
                <w:pStyle w:val="TOC2"/>
                <w:rPr>
                  <w:rFonts w:eastAsiaTheme="minorEastAsia"/>
                  <w:noProof/>
                  <w:lang w:eastAsia="en-GB"/>
                </w:rPr>
              </w:pPr>
              <w:hyperlink w:anchor="_Toc263688592" w:history="1">
                <w:r w:rsidR="00223DD8" w:rsidRPr="00F27526">
                  <w:rPr>
                    <w:rStyle w:val="Hyperlink"/>
                    <w:noProof/>
                  </w:rPr>
                  <w:t>3.5</w:t>
                </w:r>
                <w:r w:rsidR="00223DD8">
                  <w:rPr>
                    <w:rFonts w:eastAsiaTheme="minorEastAsia"/>
                    <w:noProof/>
                    <w:lang w:eastAsia="en-GB"/>
                  </w:rPr>
                  <w:tab/>
                </w:r>
                <w:r w:rsidR="00223DD8" w:rsidRPr="00F27526">
                  <w:rPr>
                    <w:rStyle w:val="Hyperlink"/>
                    <w:noProof/>
                  </w:rPr>
                  <w:t>Other Renewables-Based and Distributed Electricity Generation</w:t>
                </w:r>
                <w:r w:rsidR="00223DD8">
                  <w:rPr>
                    <w:noProof/>
                    <w:webHidden/>
                  </w:rPr>
                  <w:tab/>
                </w:r>
                <w:r w:rsidR="00D50FDC">
                  <w:rPr>
                    <w:noProof/>
                    <w:webHidden/>
                  </w:rPr>
                  <w:fldChar w:fldCharType="begin"/>
                </w:r>
                <w:r w:rsidR="00223DD8">
                  <w:rPr>
                    <w:noProof/>
                    <w:webHidden/>
                  </w:rPr>
                  <w:instrText xml:space="preserve"> PAGEREF _Toc263688592 \h </w:instrText>
                </w:r>
                <w:r w:rsidR="00D50FDC">
                  <w:rPr>
                    <w:noProof/>
                    <w:webHidden/>
                  </w:rPr>
                </w:r>
                <w:r w:rsidR="00D50FDC">
                  <w:rPr>
                    <w:noProof/>
                    <w:webHidden/>
                  </w:rPr>
                  <w:fldChar w:fldCharType="separate"/>
                </w:r>
                <w:r w:rsidR="0005759A">
                  <w:rPr>
                    <w:noProof/>
                    <w:webHidden/>
                  </w:rPr>
                  <w:t>- 64 -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3" w:history="1">
                <w:r w:rsidR="00223DD8" w:rsidRPr="00F27526">
                  <w:rPr>
                    <w:rStyle w:val="Hyperlink"/>
                    <w:noProof/>
                  </w:rPr>
                  <w:t>3.5.1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_Toc263688593 \h </w:instrText>
                </w:r>
                <w:r w:rsidR="00D50FDC">
                  <w:rPr>
                    <w:noProof/>
                    <w:webHidden/>
                  </w:rPr>
                </w:r>
                <w:r w:rsidR="00D50FDC">
                  <w:rPr>
                    <w:noProof/>
                    <w:webHidden/>
                  </w:rPr>
                  <w:fldChar w:fldCharType="separate"/>
                </w:r>
                <w:r w:rsidR="0005759A">
                  <w:rPr>
                    <w:noProof/>
                    <w:webHidden/>
                  </w:rPr>
                  <w:t>- 64 -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4" w:history="1">
                <w:r w:rsidR="00223DD8" w:rsidRPr="00F27526">
                  <w:rPr>
                    <w:rStyle w:val="Hyperlink"/>
                    <w:noProof/>
                  </w:rPr>
                  <w:t>3.5.2</w:t>
                </w:r>
                <w:r w:rsidR="00223DD8">
                  <w:rPr>
                    <w:rFonts w:eastAsiaTheme="minorEastAsia"/>
                    <w:noProof/>
                    <w:lang w:eastAsia="en-GB"/>
                  </w:rPr>
                  <w:tab/>
                </w:r>
                <w:r w:rsidR="00223DD8" w:rsidRPr="00F27526">
                  <w:rPr>
                    <w:rStyle w:val="Hyperlink"/>
                    <w:noProof/>
                  </w:rPr>
                  <w:t>Concentrating Solar Power</w:t>
                </w:r>
                <w:r w:rsidR="00223DD8">
                  <w:rPr>
                    <w:noProof/>
                    <w:webHidden/>
                  </w:rPr>
                  <w:tab/>
                </w:r>
                <w:r w:rsidR="00D50FDC">
                  <w:rPr>
                    <w:noProof/>
                    <w:webHidden/>
                  </w:rPr>
                  <w:fldChar w:fldCharType="begin"/>
                </w:r>
                <w:r w:rsidR="00223DD8">
                  <w:rPr>
                    <w:noProof/>
                    <w:webHidden/>
                  </w:rPr>
                  <w:instrText xml:space="preserve"> PAGEREF _Toc263688594 \h </w:instrText>
                </w:r>
                <w:r w:rsidR="00D50FDC">
                  <w:rPr>
                    <w:noProof/>
                    <w:webHidden/>
                  </w:rPr>
                </w:r>
                <w:r w:rsidR="00D50FDC">
                  <w:rPr>
                    <w:noProof/>
                    <w:webHidden/>
                  </w:rPr>
                  <w:fldChar w:fldCharType="separate"/>
                </w:r>
                <w:r w:rsidR="0005759A">
                  <w:rPr>
                    <w:noProof/>
                    <w:webHidden/>
                  </w:rPr>
                  <w:t>- 64 -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5" w:history="1">
                <w:r w:rsidR="00223DD8" w:rsidRPr="00F27526">
                  <w:rPr>
                    <w:rStyle w:val="Hyperlink"/>
                    <w:noProof/>
                  </w:rPr>
                  <w:t>3.5.3</w:t>
                </w:r>
                <w:r w:rsidR="00223DD8">
                  <w:rPr>
                    <w:rFonts w:eastAsiaTheme="minorEastAsia"/>
                    <w:noProof/>
                    <w:lang w:eastAsia="en-GB"/>
                  </w:rPr>
                  <w:tab/>
                </w:r>
                <w:r w:rsidR="00223DD8" w:rsidRPr="00F27526">
                  <w:rPr>
                    <w:rStyle w:val="Hyperlink"/>
                    <w:noProof/>
                  </w:rPr>
                  <w:t>Marine Energy Generation</w:t>
                </w:r>
                <w:r w:rsidR="00223DD8">
                  <w:rPr>
                    <w:noProof/>
                    <w:webHidden/>
                  </w:rPr>
                  <w:tab/>
                </w:r>
                <w:r w:rsidR="00D50FDC">
                  <w:rPr>
                    <w:noProof/>
                    <w:webHidden/>
                  </w:rPr>
                  <w:fldChar w:fldCharType="begin"/>
                </w:r>
                <w:r w:rsidR="00223DD8">
                  <w:rPr>
                    <w:noProof/>
                    <w:webHidden/>
                  </w:rPr>
                  <w:instrText xml:space="preserve"> PAGEREF _Toc263688595 \h </w:instrText>
                </w:r>
                <w:r w:rsidR="00D50FDC">
                  <w:rPr>
                    <w:noProof/>
                    <w:webHidden/>
                  </w:rPr>
                </w:r>
                <w:r w:rsidR="00D50FDC">
                  <w:rPr>
                    <w:noProof/>
                    <w:webHidden/>
                  </w:rPr>
                  <w:fldChar w:fldCharType="separate"/>
                </w:r>
                <w:r w:rsidR="0005759A">
                  <w:rPr>
                    <w:noProof/>
                    <w:webHidden/>
                  </w:rPr>
                  <w:t>- 68 -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6" w:history="1">
                <w:r w:rsidR="00223DD8" w:rsidRPr="00F27526">
                  <w:rPr>
                    <w:rStyle w:val="Hyperlink"/>
                    <w:noProof/>
                  </w:rPr>
                  <w:t>3.5.4</w:t>
                </w:r>
                <w:r w:rsidR="00223DD8">
                  <w:rPr>
                    <w:rFonts w:eastAsiaTheme="minorEastAsia"/>
                    <w:noProof/>
                    <w:lang w:eastAsia="en-GB"/>
                  </w:rPr>
                  <w:tab/>
                </w:r>
                <w:r w:rsidR="00223DD8" w:rsidRPr="00F27526">
                  <w:rPr>
                    <w:rStyle w:val="Hyperlink"/>
                    <w:noProof/>
                  </w:rPr>
                  <w:t>Other Renewables-Based Electricity Generation</w:t>
                </w:r>
                <w:r w:rsidR="00223DD8">
                  <w:rPr>
                    <w:noProof/>
                    <w:webHidden/>
                  </w:rPr>
                  <w:tab/>
                </w:r>
                <w:r w:rsidR="00D50FDC">
                  <w:rPr>
                    <w:noProof/>
                    <w:webHidden/>
                  </w:rPr>
                  <w:fldChar w:fldCharType="begin"/>
                </w:r>
                <w:r w:rsidR="00223DD8">
                  <w:rPr>
                    <w:noProof/>
                    <w:webHidden/>
                  </w:rPr>
                  <w:instrText xml:space="preserve"> PAGEREF _Toc263688596 \h </w:instrText>
                </w:r>
                <w:r w:rsidR="00D50FDC">
                  <w:rPr>
                    <w:noProof/>
                    <w:webHidden/>
                  </w:rPr>
                </w:r>
                <w:r w:rsidR="00D50FDC">
                  <w:rPr>
                    <w:noProof/>
                    <w:webHidden/>
                  </w:rPr>
                  <w:fldChar w:fldCharType="separate"/>
                </w:r>
                <w:r w:rsidR="0005759A">
                  <w:rPr>
                    <w:noProof/>
                    <w:webHidden/>
                  </w:rPr>
                  <w:t>- 71 -</w:t>
                </w:r>
                <w:r w:rsidR="00D50FDC">
                  <w:rPr>
                    <w:noProof/>
                    <w:webHidden/>
                  </w:rPr>
                  <w:fldChar w:fldCharType="end"/>
                </w:r>
              </w:hyperlink>
            </w:p>
            <w:p w:rsidR="00223DD8" w:rsidRDefault="003C7AEB">
              <w:pPr>
                <w:pStyle w:val="TOC2"/>
                <w:rPr>
                  <w:rFonts w:eastAsiaTheme="minorEastAsia"/>
                  <w:noProof/>
                  <w:lang w:eastAsia="en-GB"/>
                </w:rPr>
              </w:pPr>
              <w:hyperlink w:anchor="_Toc263688597" w:history="1">
                <w:r w:rsidR="00223DD8" w:rsidRPr="00F27526">
                  <w:rPr>
                    <w:rStyle w:val="Hyperlink"/>
                    <w:noProof/>
                  </w:rPr>
                  <w:t>3.6</w:t>
                </w:r>
                <w:r w:rsidR="00223DD8">
                  <w:rPr>
                    <w:rFonts w:eastAsiaTheme="minorEastAsia"/>
                    <w:noProof/>
                    <w:lang w:eastAsia="en-GB"/>
                  </w:rPr>
                  <w:tab/>
                </w:r>
                <w:r w:rsidR="00223DD8" w:rsidRPr="00F27526">
                  <w:rPr>
                    <w:rStyle w:val="Hyperlink"/>
                    <w:noProof/>
                  </w:rPr>
                  <w:t>Copper Use in All Renewables-Based and Distributed Generation</w:t>
                </w:r>
                <w:r w:rsidR="00223DD8">
                  <w:rPr>
                    <w:noProof/>
                    <w:webHidden/>
                  </w:rPr>
                  <w:tab/>
                </w:r>
                <w:r w:rsidR="00D50FDC">
                  <w:rPr>
                    <w:noProof/>
                    <w:webHidden/>
                  </w:rPr>
                  <w:fldChar w:fldCharType="begin"/>
                </w:r>
                <w:r w:rsidR="00223DD8">
                  <w:rPr>
                    <w:noProof/>
                    <w:webHidden/>
                  </w:rPr>
                  <w:instrText xml:space="preserve"> PAGEREF _Toc263688597 \h </w:instrText>
                </w:r>
                <w:r w:rsidR="00D50FDC">
                  <w:rPr>
                    <w:noProof/>
                    <w:webHidden/>
                  </w:rPr>
                </w:r>
                <w:r w:rsidR="00D50FDC">
                  <w:rPr>
                    <w:noProof/>
                    <w:webHidden/>
                  </w:rPr>
                  <w:fldChar w:fldCharType="separate"/>
                </w:r>
                <w:r w:rsidR="0005759A">
                  <w:rPr>
                    <w:noProof/>
                    <w:webHidden/>
                  </w:rPr>
                  <w:t>- 72 -</w:t>
                </w:r>
                <w:r w:rsidR="00D50FDC">
                  <w:rPr>
                    <w:noProof/>
                    <w:webHidden/>
                  </w:rPr>
                  <w:fldChar w:fldCharType="end"/>
                </w:r>
              </w:hyperlink>
            </w:p>
            <w:p w:rsidR="00223DD8" w:rsidRDefault="003C7AEB">
              <w:pPr>
                <w:pStyle w:val="TOC2"/>
                <w:rPr>
                  <w:rFonts w:eastAsiaTheme="minorEastAsia"/>
                  <w:noProof/>
                  <w:lang w:eastAsia="en-GB"/>
                </w:rPr>
              </w:pPr>
              <w:hyperlink w:anchor="_Toc263688598" w:history="1">
                <w:r w:rsidR="00223DD8" w:rsidRPr="00F27526">
                  <w:rPr>
                    <w:rStyle w:val="Hyperlink"/>
                    <w:noProof/>
                  </w:rPr>
                  <w:t>3.7</w:t>
                </w:r>
                <w:r w:rsidR="00223DD8">
                  <w:rPr>
                    <w:rFonts w:eastAsiaTheme="minorEastAsia"/>
                    <w:noProof/>
                    <w:lang w:eastAsia="en-GB"/>
                  </w:rPr>
                  <w:tab/>
                </w:r>
                <w:r w:rsidR="00223DD8" w:rsidRPr="00F27526">
                  <w:rPr>
                    <w:rStyle w:val="Hyperlink"/>
                    <w:noProof/>
                  </w:rPr>
                  <w:t>Renewables-Based and Other Energy Efficient Desalination</w:t>
                </w:r>
                <w:r w:rsidR="00223DD8">
                  <w:rPr>
                    <w:noProof/>
                    <w:webHidden/>
                  </w:rPr>
                  <w:tab/>
                </w:r>
                <w:r w:rsidR="00D50FDC">
                  <w:rPr>
                    <w:noProof/>
                    <w:webHidden/>
                  </w:rPr>
                  <w:fldChar w:fldCharType="begin"/>
                </w:r>
                <w:r w:rsidR="00223DD8">
                  <w:rPr>
                    <w:noProof/>
                    <w:webHidden/>
                  </w:rPr>
                  <w:instrText xml:space="preserve"> PAGEREF _Toc263688598 \h </w:instrText>
                </w:r>
                <w:r w:rsidR="00D50FDC">
                  <w:rPr>
                    <w:noProof/>
                    <w:webHidden/>
                  </w:rPr>
                </w:r>
                <w:r w:rsidR="00D50FDC">
                  <w:rPr>
                    <w:noProof/>
                    <w:webHidden/>
                  </w:rPr>
                  <w:fldChar w:fldCharType="separate"/>
                </w:r>
                <w:r w:rsidR="0005759A">
                  <w:rPr>
                    <w:noProof/>
                    <w:webHidden/>
                  </w:rPr>
                  <w:t>- 74 -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599" w:history="1">
                <w:r w:rsidR="00223DD8" w:rsidRPr="00F27526">
                  <w:rPr>
                    <w:rStyle w:val="Hyperlink"/>
                    <w:noProof/>
                  </w:rPr>
                  <w:t>3.7.1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_Toc263688599 \h </w:instrText>
                </w:r>
                <w:r w:rsidR="00D50FDC">
                  <w:rPr>
                    <w:noProof/>
                    <w:webHidden/>
                  </w:rPr>
                </w:r>
                <w:r w:rsidR="00D50FDC">
                  <w:rPr>
                    <w:noProof/>
                    <w:webHidden/>
                  </w:rPr>
                  <w:fldChar w:fldCharType="separate"/>
                </w:r>
                <w:r w:rsidR="0005759A">
                  <w:rPr>
                    <w:noProof/>
                    <w:webHidden/>
                  </w:rPr>
                  <w:t>- 74 -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0" w:history="1">
                <w:r w:rsidR="00223DD8" w:rsidRPr="00F27526">
                  <w:rPr>
                    <w:rStyle w:val="Hyperlink"/>
                    <w:noProof/>
                  </w:rPr>
                  <w:t>3.7.2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_Toc263688600 \h </w:instrText>
                </w:r>
                <w:r w:rsidR="00D50FDC">
                  <w:rPr>
                    <w:noProof/>
                    <w:webHidden/>
                  </w:rPr>
                </w:r>
                <w:r w:rsidR="00D50FDC">
                  <w:rPr>
                    <w:noProof/>
                    <w:webHidden/>
                  </w:rPr>
                  <w:fldChar w:fldCharType="separate"/>
                </w:r>
                <w:r w:rsidR="0005759A">
                  <w:rPr>
                    <w:noProof/>
                    <w:webHidden/>
                  </w:rPr>
                  <w:t>- 74 -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1" w:history="1">
                <w:r w:rsidR="00223DD8" w:rsidRPr="00F27526">
                  <w:rPr>
                    <w:rStyle w:val="Hyperlink"/>
                    <w:noProof/>
                  </w:rPr>
                  <w:t>3.7.3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_Toc263688601 \h </w:instrText>
                </w:r>
                <w:r w:rsidR="00D50FDC">
                  <w:rPr>
                    <w:noProof/>
                    <w:webHidden/>
                  </w:rPr>
                </w:r>
                <w:r w:rsidR="00D50FDC">
                  <w:rPr>
                    <w:noProof/>
                    <w:webHidden/>
                  </w:rPr>
                  <w:fldChar w:fldCharType="separate"/>
                </w:r>
                <w:r w:rsidR="0005759A">
                  <w:rPr>
                    <w:noProof/>
                    <w:webHidden/>
                  </w:rPr>
                  <w:t>- 76 -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2" w:history="1">
                <w:r w:rsidR="00223DD8" w:rsidRPr="00F27526">
                  <w:rPr>
                    <w:rStyle w:val="Hyperlink"/>
                    <w:noProof/>
                  </w:rPr>
                  <w:t>3.7.4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_Toc263688602 \h </w:instrText>
                </w:r>
                <w:r w:rsidR="00D50FDC">
                  <w:rPr>
                    <w:noProof/>
                    <w:webHidden/>
                  </w:rPr>
                </w:r>
                <w:r w:rsidR="00D50FDC">
                  <w:rPr>
                    <w:noProof/>
                    <w:webHidden/>
                  </w:rPr>
                  <w:fldChar w:fldCharType="separate"/>
                </w:r>
                <w:r w:rsidR="0005759A">
                  <w:rPr>
                    <w:noProof/>
                    <w:webHidden/>
                  </w:rPr>
                  <w:t>- 79 -</w:t>
                </w:r>
                <w:r w:rsidR="00D50FDC">
                  <w:rPr>
                    <w:noProof/>
                    <w:webHidden/>
                  </w:rPr>
                  <w:fldChar w:fldCharType="end"/>
                </w:r>
              </w:hyperlink>
            </w:p>
            <w:p w:rsidR="00223DD8" w:rsidRDefault="003C7AEB">
              <w:pPr>
                <w:pStyle w:val="TOC2"/>
                <w:rPr>
                  <w:rFonts w:eastAsiaTheme="minorEastAsia"/>
                  <w:noProof/>
                  <w:lang w:eastAsia="en-GB"/>
                </w:rPr>
              </w:pPr>
              <w:hyperlink w:anchor="_Toc263688603" w:history="1">
                <w:r w:rsidR="00223DD8" w:rsidRPr="00F27526">
                  <w:rPr>
                    <w:rStyle w:val="Hyperlink"/>
                    <w:noProof/>
                  </w:rPr>
                  <w:t>3.8</w:t>
                </w:r>
                <w:r w:rsidR="00223DD8">
                  <w:rPr>
                    <w:rFonts w:eastAsiaTheme="minorEastAsia"/>
                    <w:noProof/>
                    <w:lang w:eastAsia="en-GB"/>
                  </w:rPr>
                  <w:tab/>
                </w:r>
                <w:r w:rsidR="00223DD8" w:rsidRPr="00F27526">
                  <w:rPr>
                    <w:rStyle w:val="Hyperlink"/>
                    <w:noProof/>
                  </w:rPr>
                  <w:t>The Smart Grid, Electricity Transmission, Distribution and Storage</w:t>
                </w:r>
                <w:r w:rsidR="00223DD8">
                  <w:rPr>
                    <w:noProof/>
                    <w:webHidden/>
                  </w:rPr>
                  <w:tab/>
                </w:r>
                <w:r w:rsidR="00D50FDC">
                  <w:rPr>
                    <w:noProof/>
                    <w:webHidden/>
                  </w:rPr>
                  <w:fldChar w:fldCharType="begin"/>
                </w:r>
                <w:r w:rsidR="00223DD8">
                  <w:rPr>
                    <w:noProof/>
                    <w:webHidden/>
                  </w:rPr>
                  <w:instrText xml:space="preserve"> PAGEREF _Toc263688603 \h </w:instrText>
                </w:r>
                <w:r w:rsidR="00D50FDC">
                  <w:rPr>
                    <w:noProof/>
                    <w:webHidden/>
                  </w:rPr>
                </w:r>
                <w:r w:rsidR="00D50FDC">
                  <w:rPr>
                    <w:noProof/>
                    <w:webHidden/>
                  </w:rPr>
                  <w:fldChar w:fldCharType="separate"/>
                </w:r>
                <w:r w:rsidR="0005759A">
                  <w:rPr>
                    <w:noProof/>
                    <w:webHidden/>
                  </w:rPr>
                  <w:t>- 81 -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4" w:history="1">
                <w:r w:rsidR="00223DD8" w:rsidRPr="00F27526">
                  <w:rPr>
                    <w:rStyle w:val="Hyperlink"/>
                    <w:noProof/>
                  </w:rPr>
                  <w:t>3.8.1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_Toc263688604 \h </w:instrText>
                </w:r>
                <w:r w:rsidR="00D50FDC">
                  <w:rPr>
                    <w:noProof/>
                    <w:webHidden/>
                  </w:rPr>
                </w:r>
                <w:r w:rsidR="00D50FDC">
                  <w:rPr>
                    <w:noProof/>
                    <w:webHidden/>
                  </w:rPr>
                  <w:fldChar w:fldCharType="separate"/>
                </w:r>
                <w:r w:rsidR="0005759A">
                  <w:rPr>
                    <w:noProof/>
                    <w:webHidden/>
                  </w:rPr>
                  <w:t>- 81 -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5" w:history="1">
                <w:r w:rsidR="00223DD8" w:rsidRPr="00F27526">
                  <w:rPr>
                    <w:rStyle w:val="Hyperlink"/>
                    <w:noProof/>
                  </w:rPr>
                  <w:t>3.8.2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_Toc263688605 \h </w:instrText>
                </w:r>
                <w:r w:rsidR="00D50FDC">
                  <w:rPr>
                    <w:noProof/>
                    <w:webHidden/>
                  </w:rPr>
                </w:r>
                <w:r w:rsidR="00D50FDC">
                  <w:rPr>
                    <w:noProof/>
                    <w:webHidden/>
                  </w:rPr>
                  <w:fldChar w:fldCharType="separate"/>
                </w:r>
                <w:r w:rsidR="0005759A">
                  <w:rPr>
                    <w:noProof/>
                    <w:webHidden/>
                  </w:rPr>
                  <w:t>- 81 -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6" w:history="1">
                <w:r w:rsidR="00223DD8" w:rsidRPr="00F27526">
                  <w:rPr>
                    <w:rStyle w:val="Hyperlink"/>
                    <w:noProof/>
                  </w:rPr>
                  <w:t>3.8.3</w:t>
                </w:r>
                <w:r w:rsidR="00223DD8">
                  <w:rPr>
                    <w:rFonts w:eastAsiaTheme="minorEastAsia"/>
                    <w:noProof/>
                    <w:lang w:eastAsia="en-GB"/>
                  </w:rPr>
                  <w:tab/>
                </w:r>
                <w:r w:rsidR="00223DD8" w:rsidRPr="00F27526">
                  <w:rPr>
                    <w:rStyle w:val="Hyperlink"/>
                    <w:noProof/>
                  </w:rPr>
                  <w:t>Market Forecasts and Impact on Copper</w:t>
                </w:r>
                <w:r w:rsidR="00223DD8">
                  <w:rPr>
                    <w:noProof/>
                    <w:webHidden/>
                  </w:rPr>
                  <w:tab/>
                </w:r>
                <w:r w:rsidR="00D50FDC">
                  <w:rPr>
                    <w:noProof/>
                    <w:webHidden/>
                  </w:rPr>
                  <w:fldChar w:fldCharType="begin"/>
                </w:r>
                <w:r w:rsidR="00223DD8">
                  <w:rPr>
                    <w:noProof/>
                    <w:webHidden/>
                  </w:rPr>
                  <w:instrText xml:space="preserve"> PAGEREF _Toc263688606 \h </w:instrText>
                </w:r>
                <w:r w:rsidR="00D50FDC">
                  <w:rPr>
                    <w:noProof/>
                    <w:webHidden/>
                  </w:rPr>
                </w:r>
                <w:r w:rsidR="00D50FDC">
                  <w:rPr>
                    <w:noProof/>
                    <w:webHidden/>
                  </w:rPr>
                  <w:fldChar w:fldCharType="separate"/>
                </w:r>
                <w:r w:rsidR="0005759A">
                  <w:rPr>
                    <w:noProof/>
                    <w:webHidden/>
                  </w:rPr>
                  <w:t>- 86 -</w:t>
                </w:r>
                <w:r w:rsidR="00D50FDC">
                  <w:rPr>
                    <w:noProof/>
                    <w:webHidden/>
                  </w:rPr>
                  <w:fldChar w:fldCharType="end"/>
                </w:r>
              </w:hyperlink>
            </w:p>
            <w:p w:rsidR="00223DD8" w:rsidRDefault="003C7AEB">
              <w:pPr>
                <w:pStyle w:val="TOC2"/>
                <w:rPr>
                  <w:rFonts w:eastAsiaTheme="minorEastAsia"/>
                  <w:noProof/>
                  <w:lang w:eastAsia="en-GB"/>
                </w:rPr>
              </w:pPr>
              <w:hyperlink w:anchor="_Toc263688607" w:history="1">
                <w:r w:rsidR="00223DD8" w:rsidRPr="00F27526">
                  <w:rPr>
                    <w:rStyle w:val="Hyperlink"/>
                    <w:noProof/>
                  </w:rPr>
                  <w:t>3.9</w:t>
                </w:r>
                <w:r w:rsidR="00223DD8">
                  <w:rPr>
                    <w:rFonts w:eastAsiaTheme="minorEastAsia"/>
                    <w:noProof/>
                    <w:lang w:eastAsia="en-GB"/>
                  </w:rPr>
                  <w:tab/>
                </w:r>
                <w:r w:rsidR="00223DD8" w:rsidRPr="00F27526">
                  <w:rPr>
                    <w:rStyle w:val="Hyperlink"/>
                    <w:noProof/>
                  </w:rPr>
                  <w:t>Carbon Capture and Storage</w:t>
                </w:r>
                <w:r w:rsidR="00223DD8">
                  <w:rPr>
                    <w:noProof/>
                    <w:webHidden/>
                  </w:rPr>
                  <w:tab/>
                </w:r>
                <w:r w:rsidR="00D50FDC">
                  <w:rPr>
                    <w:noProof/>
                    <w:webHidden/>
                  </w:rPr>
                  <w:fldChar w:fldCharType="begin"/>
                </w:r>
                <w:r w:rsidR="00223DD8">
                  <w:rPr>
                    <w:noProof/>
                    <w:webHidden/>
                  </w:rPr>
                  <w:instrText xml:space="preserve"> PAGEREF _Toc263688607 \h </w:instrText>
                </w:r>
                <w:r w:rsidR="00D50FDC">
                  <w:rPr>
                    <w:noProof/>
                    <w:webHidden/>
                  </w:rPr>
                </w:r>
                <w:r w:rsidR="00D50FDC">
                  <w:rPr>
                    <w:noProof/>
                    <w:webHidden/>
                  </w:rPr>
                  <w:fldChar w:fldCharType="separate"/>
                </w:r>
                <w:r w:rsidR="0005759A">
                  <w:rPr>
                    <w:noProof/>
                    <w:webHidden/>
                  </w:rPr>
                  <w:t>- 87 -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8" w:history="1">
                <w:r w:rsidR="00223DD8" w:rsidRPr="00F27526">
                  <w:rPr>
                    <w:rStyle w:val="Hyperlink"/>
                    <w:noProof/>
                  </w:rPr>
                  <w:t>3.9.1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_Toc263688608 \h </w:instrText>
                </w:r>
                <w:r w:rsidR="00D50FDC">
                  <w:rPr>
                    <w:noProof/>
                    <w:webHidden/>
                  </w:rPr>
                </w:r>
                <w:r w:rsidR="00D50FDC">
                  <w:rPr>
                    <w:noProof/>
                    <w:webHidden/>
                  </w:rPr>
                  <w:fldChar w:fldCharType="separate"/>
                </w:r>
                <w:r w:rsidR="0005759A">
                  <w:rPr>
                    <w:noProof/>
                    <w:webHidden/>
                  </w:rPr>
                  <w:t>- 87 -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09" w:history="1">
                <w:r w:rsidR="00223DD8" w:rsidRPr="00F27526">
                  <w:rPr>
                    <w:rStyle w:val="Hyperlink"/>
                    <w:noProof/>
                  </w:rPr>
                  <w:t>3.9.2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_Toc263688609 \h </w:instrText>
                </w:r>
                <w:r w:rsidR="00D50FDC">
                  <w:rPr>
                    <w:noProof/>
                    <w:webHidden/>
                  </w:rPr>
                </w:r>
                <w:r w:rsidR="00D50FDC">
                  <w:rPr>
                    <w:noProof/>
                    <w:webHidden/>
                  </w:rPr>
                  <w:fldChar w:fldCharType="separate"/>
                </w:r>
                <w:r w:rsidR="0005759A">
                  <w:rPr>
                    <w:noProof/>
                    <w:webHidden/>
                  </w:rPr>
                  <w:t>- 88 -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0" w:history="1">
                <w:r w:rsidR="00223DD8" w:rsidRPr="00F27526">
                  <w:rPr>
                    <w:rStyle w:val="Hyperlink"/>
                    <w:noProof/>
                  </w:rPr>
                  <w:t>3.9.3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_Toc263688610 \h </w:instrText>
                </w:r>
                <w:r w:rsidR="00D50FDC">
                  <w:rPr>
                    <w:noProof/>
                    <w:webHidden/>
                  </w:rPr>
                </w:r>
                <w:r w:rsidR="00D50FDC">
                  <w:rPr>
                    <w:noProof/>
                    <w:webHidden/>
                  </w:rPr>
                  <w:fldChar w:fldCharType="separate"/>
                </w:r>
                <w:r w:rsidR="0005759A">
                  <w:rPr>
                    <w:noProof/>
                    <w:webHidden/>
                  </w:rPr>
                  <w:t>- 92 -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1" w:history="1">
                <w:r w:rsidR="00223DD8" w:rsidRPr="00F27526">
                  <w:rPr>
                    <w:rStyle w:val="Hyperlink"/>
                    <w:noProof/>
                  </w:rPr>
                  <w:t>3.9.4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_Toc263688611 \h </w:instrText>
                </w:r>
                <w:r w:rsidR="00D50FDC">
                  <w:rPr>
                    <w:noProof/>
                    <w:webHidden/>
                  </w:rPr>
                </w:r>
                <w:r w:rsidR="00D50FDC">
                  <w:rPr>
                    <w:noProof/>
                    <w:webHidden/>
                  </w:rPr>
                  <w:fldChar w:fldCharType="separate"/>
                </w:r>
                <w:r w:rsidR="0005759A">
                  <w:rPr>
                    <w:noProof/>
                    <w:webHidden/>
                  </w:rPr>
                  <w:t>- 95 -</w:t>
                </w:r>
                <w:r w:rsidR="00D50FDC">
                  <w:rPr>
                    <w:noProof/>
                    <w:webHidden/>
                  </w:rPr>
                  <w:fldChar w:fldCharType="end"/>
                </w:r>
              </w:hyperlink>
            </w:p>
            <w:p w:rsidR="00223DD8" w:rsidRDefault="003C7AEB">
              <w:pPr>
                <w:pStyle w:val="TOC1"/>
                <w:tabs>
                  <w:tab w:val="left" w:pos="440"/>
                  <w:tab w:val="right" w:leader="dot" w:pos="9174"/>
                </w:tabs>
                <w:rPr>
                  <w:rFonts w:eastAsiaTheme="minorEastAsia"/>
                  <w:noProof/>
                  <w:lang w:eastAsia="en-GB"/>
                </w:rPr>
              </w:pPr>
              <w:hyperlink w:anchor="_Toc263688612" w:history="1">
                <w:r w:rsidR="00223DD8" w:rsidRPr="00F27526">
                  <w:rPr>
                    <w:rStyle w:val="Hyperlink"/>
                    <w:noProof/>
                  </w:rPr>
                  <w:t>4.</w:t>
                </w:r>
                <w:r w:rsidR="00223DD8">
                  <w:rPr>
                    <w:rFonts w:eastAsiaTheme="minorEastAsia"/>
                    <w:noProof/>
                    <w:lang w:eastAsia="en-GB"/>
                  </w:rPr>
                  <w:tab/>
                </w:r>
                <w:r w:rsidR="00223DD8" w:rsidRPr="00F27526">
                  <w:rPr>
                    <w:rStyle w:val="Hyperlink"/>
                    <w:noProof/>
                  </w:rPr>
                  <w:t>Premise, Equipment and Other Markets</w:t>
                </w:r>
                <w:r w:rsidR="00223DD8">
                  <w:rPr>
                    <w:noProof/>
                    <w:webHidden/>
                  </w:rPr>
                  <w:tab/>
                </w:r>
                <w:r w:rsidR="00D50FDC">
                  <w:rPr>
                    <w:noProof/>
                    <w:webHidden/>
                  </w:rPr>
                  <w:fldChar w:fldCharType="begin"/>
                </w:r>
                <w:r w:rsidR="00223DD8">
                  <w:rPr>
                    <w:noProof/>
                    <w:webHidden/>
                  </w:rPr>
                  <w:instrText xml:space="preserve"> PAGEREF _Toc263688612 \h </w:instrText>
                </w:r>
                <w:r w:rsidR="00D50FDC">
                  <w:rPr>
                    <w:noProof/>
                    <w:webHidden/>
                  </w:rPr>
                </w:r>
                <w:r w:rsidR="00D50FDC">
                  <w:rPr>
                    <w:noProof/>
                    <w:webHidden/>
                  </w:rPr>
                  <w:fldChar w:fldCharType="separate"/>
                </w:r>
                <w:r w:rsidR="0005759A">
                  <w:rPr>
                    <w:noProof/>
                    <w:webHidden/>
                  </w:rPr>
                  <w:t>- 97 -</w:t>
                </w:r>
                <w:r w:rsidR="00D50FDC">
                  <w:rPr>
                    <w:noProof/>
                    <w:webHidden/>
                  </w:rPr>
                  <w:fldChar w:fldCharType="end"/>
                </w:r>
              </w:hyperlink>
            </w:p>
            <w:p w:rsidR="00223DD8" w:rsidRDefault="003C7AEB">
              <w:pPr>
                <w:pStyle w:val="TOC2"/>
                <w:rPr>
                  <w:rFonts w:eastAsiaTheme="minorEastAsia"/>
                  <w:noProof/>
                  <w:lang w:eastAsia="en-GB"/>
                </w:rPr>
              </w:pPr>
              <w:hyperlink w:anchor="_Toc263688613" w:history="1">
                <w:r w:rsidR="00223DD8" w:rsidRPr="00F27526">
                  <w:rPr>
                    <w:rStyle w:val="Hyperlink"/>
                    <w:noProof/>
                  </w:rPr>
                  <w:t>4.1</w:t>
                </w:r>
                <w:r w:rsidR="00223DD8">
                  <w:rPr>
                    <w:rFonts w:eastAsiaTheme="minorEastAsia"/>
                    <w:noProof/>
                    <w:lang w:eastAsia="en-GB"/>
                  </w:rPr>
                  <w:tab/>
                </w:r>
                <w:r w:rsidR="00223DD8" w:rsidRPr="00F27526">
                  <w:rPr>
                    <w:rStyle w:val="Hyperlink"/>
                    <w:noProof/>
                  </w:rPr>
                  <w:t>Section Summary</w:t>
                </w:r>
                <w:r w:rsidR="00223DD8">
                  <w:rPr>
                    <w:noProof/>
                    <w:webHidden/>
                  </w:rPr>
                  <w:tab/>
                </w:r>
                <w:r w:rsidR="00D50FDC">
                  <w:rPr>
                    <w:noProof/>
                    <w:webHidden/>
                  </w:rPr>
                  <w:fldChar w:fldCharType="begin"/>
                </w:r>
                <w:r w:rsidR="00223DD8">
                  <w:rPr>
                    <w:noProof/>
                    <w:webHidden/>
                  </w:rPr>
                  <w:instrText xml:space="preserve"> PAGEREF _Toc263688613 \h </w:instrText>
                </w:r>
                <w:r w:rsidR="00D50FDC">
                  <w:rPr>
                    <w:noProof/>
                    <w:webHidden/>
                  </w:rPr>
                </w:r>
                <w:r w:rsidR="00D50FDC">
                  <w:rPr>
                    <w:noProof/>
                    <w:webHidden/>
                  </w:rPr>
                  <w:fldChar w:fldCharType="separate"/>
                </w:r>
                <w:r w:rsidR="0005759A">
                  <w:rPr>
                    <w:noProof/>
                    <w:webHidden/>
                  </w:rPr>
                  <w:t>- 97 -</w:t>
                </w:r>
                <w:r w:rsidR="00D50FDC">
                  <w:rPr>
                    <w:noProof/>
                    <w:webHidden/>
                  </w:rPr>
                  <w:fldChar w:fldCharType="end"/>
                </w:r>
              </w:hyperlink>
            </w:p>
            <w:p w:rsidR="00223DD8" w:rsidRDefault="003C7AEB">
              <w:pPr>
                <w:pStyle w:val="TOC2"/>
                <w:rPr>
                  <w:rFonts w:eastAsiaTheme="minorEastAsia"/>
                  <w:noProof/>
                  <w:lang w:eastAsia="en-GB"/>
                </w:rPr>
              </w:pPr>
              <w:hyperlink w:anchor="_Toc263688614" w:history="1">
                <w:r w:rsidR="00223DD8" w:rsidRPr="00F27526">
                  <w:rPr>
                    <w:rStyle w:val="Hyperlink"/>
                    <w:noProof/>
                  </w:rPr>
                  <w:t>4.2</w:t>
                </w:r>
                <w:r w:rsidR="00223DD8">
                  <w:rPr>
                    <w:rFonts w:eastAsiaTheme="minorEastAsia"/>
                    <w:noProof/>
                    <w:lang w:eastAsia="en-GB"/>
                  </w:rPr>
                  <w:tab/>
                </w:r>
                <w:r w:rsidR="00223DD8" w:rsidRPr="00F27526">
                  <w:rPr>
                    <w:rStyle w:val="Hyperlink"/>
                    <w:noProof/>
                  </w:rPr>
                  <w:t>Premise Markets</w:t>
                </w:r>
                <w:r w:rsidR="00223DD8">
                  <w:rPr>
                    <w:noProof/>
                    <w:webHidden/>
                  </w:rPr>
                  <w:tab/>
                </w:r>
                <w:r w:rsidR="00D50FDC">
                  <w:rPr>
                    <w:noProof/>
                    <w:webHidden/>
                  </w:rPr>
                  <w:fldChar w:fldCharType="begin"/>
                </w:r>
                <w:r w:rsidR="00223DD8">
                  <w:rPr>
                    <w:noProof/>
                    <w:webHidden/>
                  </w:rPr>
                  <w:instrText xml:space="preserve"> PAGEREF _Toc263688614 \h </w:instrText>
                </w:r>
                <w:r w:rsidR="00D50FDC">
                  <w:rPr>
                    <w:noProof/>
                    <w:webHidden/>
                  </w:rPr>
                </w:r>
                <w:r w:rsidR="00D50FDC">
                  <w:rPr>
                    <w:noProof/>
                    <w:webHidden/>
                  </w:rPr>
                  <w:fldChar w:fldCharType="separate"/>
                </w:r>
                <w:r w:rsidR="0005759A">
                  <w:rPr>
                    <w:noProof/>
                    <w:webHidden/>
                  </w:rPr>
                  <w:t>- 97 -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5" w:history="1">
                <w:r w:rsidR="00223DD8" w:rsidRPr="00F27526">
                  <w:rPr>
                    <w:rStyle w:val="Hyperlink"/>
                    <w:noProof/>
                  </w:rPr>
                  <w:t>4.2.1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_Toc263688615 \h </w:instrText>
                </w:r>
                <w:r w:rsidR="00D50FDC">
                  <w:rPr>
                    <w:noProof/>
                    <w:webHidden/>
                  </w:rPr>
                </w:r>
                <w:r w:rsidR="00D50FDC">
                  <w:rPr>
                    <w:noProof/>
                    <w:webHidden/>
                  </w:rPr>
                  <w:fldChar w:fldCharType="separate"/>
                </w:r>
                <w:r w:rsidR="0005759A">
                  <w:rPr>
                    <w:noProof/>
                    <w:webHidden/>
                  </w:rPr>
                  <w:t>- 97 -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6" w:history="1">
                <w:r w:rsidR="00223DD8" w:rsidRPr="00F27526">
                  <w:rPr>
                    <w:rStyle w:val="Hyperlink"/>
                    <w:noProof/>
                  </w:rPr>
                  <w:t>4.2.2</w:t>
                </w:r>
                <w:r w:rsidR="00223DD8">
                  <w:rPr>
                    <w:rFonts w:eastAsiaTheme="minorEastAsia"/>
                    <w:noProof/>
                    <w:lang w:eastAsia="en-GB"/>
                  </w:rPr>
                  <w:tab/>
                </w:r>
                <w:r w:rsidR="00223DD8" w:rsidRPr="00F27526">
                  <w:rPr>
                    <w:rStyle w:val="Hyperlink"/>
                    <w:noProof/>
                  </w:rPr>
                  <w:t>Alternative Technical and Market Solutions</w:t>
                </w:r>
                <w:r w:rsidR="00223DD8">
                  <w:rPr>
                    <w:noProof/>
                    <w:webHidden/>
                  </w:rPr>
                  <w:tab/>
                </w:r>
                <w:r w:rsidR="00D50FDC">
                  <w:rPr>
                    <w:noProof/>
                    <w:webHidden/>
                  </w:rPr>
                  <w:fldChar w:fldCharType="begin"/>
                </w:r>
                <w:r w:rsidR="00223DD8">
                  <w:rPr>
                    <w:noProof/>
                    <w:webHidden/>
                  </w:rPr>
                  <w:instrText xml:space="preserve"> PAGEREF _Toc263688616 \h </w:instrText>
                </w:r>
                <w:r w:rsidR="00D50FDC">
                  <w:rPr>
                    <w:noProof/>
                    <w:webHidden/>
                  </w:rPr>
                </w:r>
                <w:r w:rsidR="00D50FDC">
                  <w:rPr>
                    <w:noProof/>
                    <w:webHidden/>
                  </w:rPr>
                  <w:fldChar w:fldCharType="separate"/>
                </w:r>
                <w:r w:rsidR="0005759A">
                  <w:rPr>
                    <w:noProof/>
                    <w:webHidden/>
                  </w:rPr>
                  <w:t>- 97 -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7" w:history="1">
                <w:r w:rsidR="00223DD8" w:rsidRPr="00F27526">
                  <w:rPr>
                    <w:rStyle w:val="Hyperlink"/>
                    <w:noProof/>
                  </w:rPr>
                  <w:t>4.2.3</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_Toc263688617 \h </w:instrText>
                </w:r>
                <w:r w:rsidR="00D50FDC">
                  <w:rPr>
                    <w:noProof/>
                    <w:webHidden/>
                  </w:rPr>
                </w:r>
                <w:r w:rsidR="00D50FDC">
                  <w:rPr>
                    <w:noProof/>
                    <w:webHidden/>
                  </w:rPr>
                  <w:fldChar w:fldCharType="separate"/>
                </w:r>
                <w:r w:rsidR="0005759A">
                  <w:rPr>
                    <w:noProof/>
                    <w:webHidden/>
                  </w:rPr>
                  <w:t>- 104 -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18" w:history="1">
                <w:r w:rsidR="00223DD8" w:rsidRPr="00F27526">
                  <w:rPr>
                    <w:rStyle w:val="Hyperlink"/>
                    <w:noProof/>
                  </w:rPr>
                  <w:t>4.2.4</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_Toc263688618 \h </w:instrText>
                </w:r>
                <w:r w:rsidR="00D50FDC">
                  <w:rPr>
                    <w:noProof/>
                    <w:webHidden/>
                  </w:rPr>
                </w:r>
                <w:r w:rsidR="00D50FDC">
                  <w:rPr>
                    <w:noProof/>
                    <w:webHidden/>
                  </w:rPr>
                  <w:fldChar w:fldCharType="separate"/>
                </w:r>
                <w:r w:rsidR="0005759A">
                  <w:rPr>
                    <w:noProof/>
                    <w:webHidden/>
                  </w:rPr>
                  <w:t>- 107 -</w:t>
                </w:r>
                <w:r w:rsidR="00D50FDC">
                  <w:rPr>
                    <w:noProof/>
                    <w:webHidden/>
                  </w:rPr>
                  <w:fldChar w:fldCharType="end"/>
                </w:r>
              </w:hyperlink>
            </w:p>
            <w:p w:rsidR="00223DD8" w:rsidRDefault="003C7AEB">
              <w:pPr>
                <w:pStyle w:val="TOC2"/>
                <w:rPr>
                  <w:rFonts w:eastAsiaTheme="minorEastAsia"/>
                  <w:noProof/>
                  <w:lang w:eastAsia="en-GB"/>
                </w:rPr>
              </w:pPr>
              <w:hyperlink w:anchor="_Toc263688619" w:history="1">
                <w:r w:rsidR="00223DD8" w:rsidRPr="00F27526">
                  <w:rPr>
                    <w:rStyle w:val="Hyperlink"/>
                    <w:noProof/>
                  </w:rPr>
                  <w:t>4.3</w:t>
                </w:r>
                <w:r w:rsidR="00223DD8">
                  <w:rPr>
                    <w:rFonts w:eastAsiaTheme="minorEastAsia"/>
                    <w:noProof/>
                    <w:lang w:eastAsia="en-GB"/>
                  </w:rPr>
                  <w:tab/>
                </w:r>
                <w:r w:rsidR="00223DD8" w:rsidRPr="00F27526">
                  <w:rPr>
                    <w:rStyle w:val="Hyperlink"/>
                    <w:noProof/>
                  </w:rPr>
                  <w:t>Equipment and Cross Market Technologies</w:t>
                </w:r>
                <w:r w:rsidR="00223DD8">
                  <w:rPr>
                    <w:noProof/>
                    <w:webHidden/>
                  </w:rPr>
                  <w:tab/>
                </w:r>
                <w:r w:rsidR="00D50FDC">
                  <w:rPr>
                    <w:noProof/>
                    <w:webHidden/>
                  </w:rPr>
                  <w:fldChar w:fldCharType="begin"/>
                </w:r>
                <w:r w:rsidR="00223DD8">
                  <w:rPr>
                    <w:noProof/>
                    <w:webHidden/>
                  </w:rPr>
                  <w:instrText xml:space="preserve"> PAGEREF _Toc263688619 \h </w:instrText>
                </w:r>
                <w:r w:rsidR="00D50FDC">
                  <w:rPr>
                    <w:noProof/>
                    <w:webHidden/>
                  </w:rPr>
                </w:r>
                <w:r w:rsidR="00D50FDC">
                  <w:rPr>
                    <w:noProof/>
                    <w:webHidden/>
                  </w:rPr>
                  <w:fldChar w:fldCharType="separate"/>
                </w:r>
                <w:r w:rsidR="0005759A">
                  <w:rPr>
                    <w:noProof/>
                    <w:webHidden/>
                  </w:rPr>
                  <w:t>- 118 -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0" w:history="1">
                <w:r w:rsidR="00223DD8" w:rsidRPr="00F27526">
                  <w:rPr>
                    <w:rStyle w:val="Hyperlink"/>
                    <w:noProof/>
                  </w:rPr>
                  <w:t>4.3.1</w:t>
                </w:r>
                <w:r w:rsidR="00223DD8">
                  <w:rPr>
                    <w:rFonts w:eastAsiaTheme="minorEastAsia"/>
                    <w:noProof/>
                    <w:lang w:eastAsia="en-GB"/>
                  </w:rPr>
                  <w:tab/>
                </w:r>
                <w:r w:rsidR="00223DD8" w:rsidRPr="00F27526">
                  <w:rPr>
                    <w:rStyle w:val="Hyperlink"/>
                    <w:noProof/>
                  </w:rPr>
                  <w:t>Sector Background</w:t>
                </w:r>
                <w:r w:rsidR="00223DD8">
                  <w:rPr>
                    <w:noProof/>
                    <w:webHidden/>
                  </w:rPr>
                  <w:tab/>
                </w:r>
                <w:r w:rsidR="00D50FDC">
                  <w:rPr>
                    <w:noProof/>
                    <w:webHidden/>
                  </w:rPr>
                  <w:fldChar w:fldCharType="begin"/>
                </w:r>
                <w:r w:rsidR="00223DD8">
                  <w:rPr>
                    <w:noProof/>
                    <w:webHidden/>
                  </w:rPr>
                  <w:instrText xml:space="preserve"> PAGEREF _Toc263688620 \h </w:instrText>
                </w:r>
                <w:r w:rsidR="00D50FDC">
                  <w:rPr>
                    <w:noProof/>
                    <w:webHidden/>
                  </w:rPr>
                </w:r>
                <w:r w:rsidR="00D50FDC">
                  <w:rPr>
                    <w:noProof/>
                    <w:webHidden/>
                  </w:rPr>
                  <w:fldChar w:fldCharType="separate"/>
                </w:r>
                <w:r w:rsidR="0005759A">
                  <w:rPr>
                    <w:noProof/>
                    <w:webHidden/>
                  </w:rPr>
                  <w:t>- 118 -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1" w:history="1">
                <w:r w:rsidR="00223DD8" w:rsidRPr="00F27526">
                  <w:rPr>
                    <w:rStyle w:val="Hyperlink"/>
                    <w:noProof/>
                  </w:rPr>
                  <w:t>4.3.2</w:t>
                </w:r>
                <w:r w:rsidR="00223DD8">
                  <w:rPr>
                    <w:rFonts w:eastAsiaTheme="minorEastAsia"/>
                    <w:noProof/>
                    <w:lang w:eastAsia="en-GB"/>
                  </w:rPr>
                  <w:tab/>
                </w:r>
                <w:r w:rsidR="00223DD8" w:rsidRPr="00F27526">
                  <w:rPr>
                    <w:rStyle w:val="Hyperlink"/>
                    <w:noProof/>
                  </w:rPr>
                  <w:t>Motors and Drive Systems</w:t>
                </w:r>
                <w:r w:rsidR="00223DD8">
                  <w:rPr>
                    <w:noProof/>
                    <w:webHidden/>
                  </w:rPr>
                  <w:tab/>
                </w:r>
                <w:r w:rsidR="00D50FDC">
                  <w:rPr>
                    <w:noProof/>
                    <w:webHidden/>
                  </w:rPr>
                  <w:fldChar w:fldCharType="begin"/>
                </w:r>
                <w:r w:rsidR="00223DD8">
                  <w:rPr>
                    <w:noProof/>
                    <w:webHidden/>
                  </w:rPr>
                  <w:instrText xml:space="preserve"> PAGEREF _Toc263688621 \h </w:instrText>
                </w:r>
                <w:r w:rsidR="00D50FDC">
                  <w:rPr>
                    <w:noProof/>
                    <w:webHidden/>
                  </w:rPr>
                </w:r>
                <w:r w:rsidR="00D50FDC">
                  <w:rPr>
                    <w:noProof/>
                    <w:webHidden/>
                  </w:rPr>
                  <w:fldChar w:fldCharType="separate"/>
                </w:r>
                <w:r w:rsidR="0005759A">
                  <w:rPr>
                    <w:noProof/>
                    <w:webHidden/>
                  </w:rPr>
                  <w:t>- 119 -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2" w:history="1">
                <w:r w:rsidR="00223DD8" w:rsidRPr="00F27526">
                  <w:rPr>
                    <w:rStyle w:val="Hyperlink"/>
                    <w:noProof/>
                  </w:rPr>
                  <w:t>4.3.3</w:t>
                </w:r>
                <w:r w:rsidR="00223DD8">
                  <w:rPr>
                    <w:rFonts w:eastAsiaTheme="minorEastAsia"/>
                    <w:noProof/>
                    <w:lang w:eastAsia="en-GB"/>
                  </w:rPr>
                  <w:tab/>
                </w:r>
                <w:r w:rsidR="00223DD8" w:rsidRPr="00F27526">
                  <w:rPr>
                    <w:rStyle w:val="Hyperlink"/>
                    <w:noProof/>
                  </w:rPr>
                  <w:t>Industrial Process Automation</w:t>
                </w:r>
                <w:r w:rsidR="00223DD8">
                  <w:rPr>
                    <w:noProof/>
                    <w:webHidden/>
                  </w:rPr>
                  <w:tab/>
                </w:r>
                <w:r w:rsidR="00D50FDC">
                  <w:rPr>
                    <w:noProof/>
                    <w:webHidden/>
                  </w:rPr>
                  <w:fldChar w:fldCharType="begin"/>
                </w:r>
                <w:r w:rsidR="00223DD8">
                  <w:rPr>
                    <w:noProof/>
                    <w:webHidden/>
                  </w:rPr>
                  <w:instrText xml:space="preserve"> PAGEREF _Toc263688622 \h </w:instrText>
                </w:r>
                <w:r w:rsidR="00D50FDC">
                  <w:rPr>
                    <w:noProof/>
                    <w:webHidden/>
                  </w:rPr>
                </w:r>
                <w:r w:rsidR="00D50FDC">
                  <w:rPr>
                    <w:noProof/>
                    <w:webHidden/>
                  </w:rPr>
                  <w:fldChar w:fldCharType="separate"/>
                </w:r>
                <w:r w:rsidR="0005759A">
                  <w:rPr>
                    <w:noProof/>
                    <w:webHidden/>
                  </w:rPr>
                  <w:t>- 127 -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3" w:history="1">
                <w:r w:rsidR="00223DD8" w:rsidRPr="00F27526">
                  <w:rPr>
                    <w:rStyle w:val="Hyperlink"/>
                    <w:noProof/>
                  </w:rPr>
                  <w:t>4.3.4</w:t>
                </w:r>
                <w:r w:rsidR="00223DD8">
                  <w:rPr>
                    <w:rFonts w:eastAsiaTheme="minorEastAsia"/>
                    <w:noProof/>
                    <w:lang w:eastAsia="en-GB"/>
                  </w:rPr>
                  <w:tab/>
                </w:r>
                <w:r w:rsidR="00223DD8" w:rsidRPr="00F27526">
                  <w:rPr>
                    <w:rStyle w:val="Hyperlink"/>
                    <w:noProof/>
                  </w:rPr>
                  <w:t>Power Electronics</w:t>
                </w:r>
                <w:r w:rsidR="00223DD8">
                  <w:rPr>
                    <w:noProof/>
                    <w:webHidden/>
                  </w:rPr>
                  <w:tab/>
                </w:r>
                <w:r w:rsidR="00D50FDC">
                  <w:rPr>
                    <w:noProof/>
                    <w:webHidden/>
                  </w:rPr>
                  <w:fldChar w:fldCharType="begin"/>
                </w:r>
                <w:r w:rsidR="00223DD8">
                  <w:rPr>
                    <w:noProof/>
                    <w:webHidden/>
                  </w:rPr>
                  <w:instrText xml:space="preserve"> PAGEREF _Toc263688623 \h </w:instrText>
                </w:r>
                <w:r w:rsidR="00D50FDC">
                  <w:rPr>
                    <w:noProof/>
                    <w:webHidden/>
                  </w:rPr>
                </w:r>
                <w:r w:rsidR="00D50FDC">
                  <w:rPr>
                    <w:noProof/>
                    <w:webHidden/>
                  </w:rPr>
                  <w:fldChar w:fldCharType="separate"/>
                </w:r>
                <w:r w:rsidR="0005759A">
                  <w:rPr>
                    <w:noProof/>
                    <w:webHidden/>
                  </w:rPr>
                  <w:t>- 128 -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4" w:history="1">
                <w:r w:rsidR="00223DD8" w:rsidRPr="00F27526">
                  <w:rPr>
                    <w:rStyle w:val="Hyperlink"/>
                    <w:noProof/>
                  </w:rPr>
                  <w:t>4.3.5</w:t>
                </w:r>
                <w:r w:rsidR="00223DD8">
                  <w:rPr>
                    <w:rFonts w:eastAsiaTheme="minorEastAsia"/>
                    <w:noProof/>
                    <w:lang w:eastAsia="en-GB"/>
                  </w:rPr>
                  <w:tab/>
                </w:r>
                <w:r w:rsidR="00223DD8" w:rsidRPr="00F27526">
                  <w:rPr>
                    <w:rStyle w:val="Hyperlink"/>
                    <w:noProof/>
                  </w:rPr>
                  <w:t>Other Electronics Business</w:t>
                </w:r>
                <w:r w:rsidR="00223DD8">
                  <w:rPr>
                    <w:noProof/>
                    <w:webHidden/>
                  </w:rPr>
                  <w:tab/>
                </w:r>
                <w:r w:rsidR="00D50FDC">
                  <w:rPr>
                    <w:noProof/>
                    <w:webHidden/>
                  </w:rPr>
                  <w:fldChar w:fldCharType="begin"/>
                </w:r>
                <w:r w:rsidR="00223DD8">
                  <w:rPr>
                    <w:noProof/>
                    <w:webHidden/>
                  </w:rPr>
                  <w:instrText xml:space="preserve"> PAGEREF _Toc263688624 \h </w:instrText>
                </w:r>
                <w:r w:rsidR="00D50FDC">
                  <w:rPr>
                    <w:noProof/>
                    <w:webHidden/>
                  </w:rPr>
                </w:r>
                <w:r w:rsidR="00D50FDC">
                  <w:rPr>
                    <w:noProof/>
                    <w:webHidden/>
                  </w:rPr>
                  <w:fldChar w:fldCharType="separate"/>
                </w:r>
                <w:r w:rsidR="0005759A">
                  <w:rPr>
                    <w:noProof/>
                    <w:webHidden/>
                  </w:rPr>
                  <w:t>- 132 -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5" w:history="1">
                <w:r w:rsidR="00223DD8" w:rsidRPr="00F27526">
                  <w:rPr>
                    <w:rStyle w:val="Hyperlink"/>
                    <w:noProof/>
                  </w:rPr>
                  <w:t>4.3.6</w:t>
                </w:r>
                <w:r w:rsidR="00223DD8">
                  <w:rPr>
                    <w:rFonts w:eastAsiaTheme="minorEastAsia"/>
                    <w:noProof/>
                    <w:lang w:eastAsia="en-GB"/>
                  </w:rPr>
                  <w:tab/>
                </w:r>
                <w:r w:rsidR="00223DD8" w:rsidRPr="00F27526">
                  <w:rPr>
                    <w:rStyle w:val="Hyperlink"/>
                    <w:noProof/>
                  </w:rPr>
                  <w:t>Energy Storage</w:t>
                </w:r>
                <w:r w:rsidR="00223DD8">
                  <w:rPr>
                    <w:noProof/>
                    <w:webHidden/>
                  </w:rPr>
                  <w:tab/>
                </w:r>
                <w:r w:rsidR="00D50FDC">
                  <w:rPr>
                    <w:noProof/>
                    <w:webHidden/>
                  </w:rPr>
                  <w:fldChar w:fldCharType="begin"/>
                </w:r>
                <w:r w:rsidR="00223DD8">
                  <w:rPr>
                    <w:noProof/>
                    <w:webHidden/>
                  </w:rPr>
                  <w:instrText xml:space="preserve"> PAGEREF _Toc263688625 \h </w:instrText>
                </w:r>
                <w:r w:rsidR="00D50FDC">
                  <w:rPr>
                    <w:noProof/>
                    <w:webHidden/>
                  </w:rPr>
                </w:r>
                <w:r w:rsidR="00D50FDC">
                  <w:rPr>
                    <w:noProof/>
                    <w:webHidden/>
                  </w:rPr>
                  <w:fldChar w:fldCharType="separate"/>
                </w:r>
                <w:r w:rsidR="0005759A">
                  <w:rPr>
                    <w:noProof/>
                    <w:webHidden/>
                  </w:rPr>
                  <w:t>- 132 -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6" w:history="1">
                <w:r w:rsidR="00223DD8" w:rsidRPr="00F27526">
                  <w:rPr>
                    <w:rStyle w:val="Hyperlink"/>
                    <w:noProof/>
                  </w:rPr>
                  <w:t>4.3.7</w:t>
                </w:r>
                <w:r w:rsidR="00223DD8">
                  <w:rPr>
                    <w:rFonts w:eastAsiaTheme="minorEastAsia"/>
                    <w:noProof/>
                    <w:lang w:eastAsia="en-GB"/>
                  </w:rPr>
                  <w:tab/>
                </w:r>
                <w:r w:rsidR="00223DD8" w:rsidRPr="00F27526">
                  <w:rPr>
                    <w:rStyle w:val="Hyperlink"/>
                    <w:noProof/>
                  </w:rPr>
                  <w:t>Market Forecasts by Sector</w:t>
                </w:r>
                <w:r w:rsidR="00223DD8">
                  <w:rPr>
                    <w:noProof/>
                    <w:webHidden/>
                  </w:rPr>
                  <w:tab/>
                </w:r>
                <w:r w:rsidR="00D50FDC">
                  <w:rPr>
                    <w:noProof/>
                    <w:webHidden/>
                  </w:rPr>
                  <w:fldChar w:fldCharType="begin"/>
                </w:r>
                <w:r w:rsidR="00223DD8">
                  <w:rPr>
                    <w:noProof/>
                    <w:webHidden/>
                  </w:rPr>
                  <w:instrText xml:space="preserve"> PAGEREF _Toc263688626 \h </w:instrText>
                </w:r>
                <w:r w:rsidR="00D50FDC">
                  <w:rPr>
                    <w:noProof/>
                    <w:webHidden/>
                  </w:rPr>
                </w:r>
                <w:r w:rsidR="00D50FDC">
                  <w:rPr>
                    <w:noProof/>
                    <w:webHidden/>
                  </w:rPr>
                  <w:fldChar w:fldCharType="separate"/>
                </w:r>
                <w:r w:rsidR="0005759A">
                  <w:rPr>
                    <w:noProof/>
                    <w:webHidden/>
                  </w:rPr>
                  <w:t>- 136 -</w:t>
                </w:r>
                <w:r w:rsidR="00D50FDC">
                  <w:rPr>
                    <w:noProof/>
                    <w:webHidden/>
                  </w:rPr>
                  <w:fldChar w:fldCharType="end"/>
                </w:r>
              </w:hyperlink>
            </w:p>
            <w:p w:rsidR="00223DD8" w:rsidRDefault="003C7AEB">
              <w:pPr>
                <w:pStyle w:val="TOC3"/>
                <w:tabs>
                  <w:tab w:val="left" w:pos="1320"/>
                  <w:tab w:val="right" w:leader="dot" w:pos="9174"/>
                </w:tabs>
                <w:rPr>
                  <w:rFonts w:eastAsiaTheme="minorEastAsia"/>
                  <w:noProof/>
                  <w:lang w:eastAsia="en-GB"/>
                </w:rPr>
              </w:pPr>
              <w:hyperlink w:anchor="_Toc263688627" w:history="1">
                <w:r w:rsidR="00223DD8" w:rsidRPr="00F27526">
                  <w:rPr>
                    <w:rStyle w:val="Hyperlink"/>
                    <w:noProof/>
                  </w:rPr>
                  <w:t>4.3.8</w:t>
                </w:r>
                <w:r w:rsidR="00223DD8">
                  <w:rPr>
                    <w:rFonts w:eastAsiaTheme="minorEastAsia"/>
                    <w:noProof/>
                    <w:lang w:eastAsia="en-GB"/>
                  </w:rPr>
                  <w:tab/>
                </w:r>
                <w:r w:rsidR="00223DD8" w:rsidRPr="00F27526">
                  <w:rPr>
                    <w:rStyle w:val="Hyperlink"/>
                    <w:noProof/>
                  </w:rPr>
                  <w:t>The Impact on Copper</w:t>
                </w:r>
                <w:r w:rsidR="00223DD8">
                  <w:rPr>
                    <w:noProof/>
                    <w:webHidden/>
                  </w:rPr>
                  <w:tab/>
                </w:r>
                <w:r w:rsidR="00D50FDC">
                  <w:rPr>
                    <w:noProof/>
                    <w:webHidden/>
                  </w:rPr>
                  <w:fldChar w:fldCharType="begin"/>
                </w:r>
                <w:r w:rsidR="00223DD8">
                  <w:rPr>
                    <w:noProof/>
                    <w:webHidden/>
                  </w:rPr>
                  <w:instrText xml:space="preserve"> PAGEREF _Toc263688627 \h </w:instrText>
                </w:r>
                <w:r w:rsidR="00D50FDC">
                  <w:rPr>
                    <w:noProof/>
                    <w:webHidden/>
                  </w:rPr>
                </w:r>
                <w:r w:rsidR="00D50FDC">
                  <w:rPr>
                    <w:noProof/>
                    <w:webHidden/>
                  </w:rPr>
                  <w:fldChar w:fldCharType="separate"/>
                </w:r>
                <w:r w:rsidR="0005759A">
                  <w:rPr>
                    <w:noProof/>
                    <w:webHidden/>
                  </w:rPr>
                  <w:t>- 139 -</w:t>
                </w:r>
                <w:r w:rsidR="00D50FDC">
                  <w:rPr>
                    <w:noProof/>
                    <w:webHidden/>
                  </w:rPr>
                  <w:fldChar w:fldCharType="end"/>
                </w:r>
              </w:hyperlink>
            </w:p>
            <w:p w:rsidR="004D6789" w:rsidRPr="00C95F78" w:rsidRDefault="00D50FDC" w:rsidP="00BB1A5E">
              <w:pPr>
                <w:spacing w:line="240" w:lineRule="auto"/>
                <w:contextualSpacing/>
                <w:jc w:val="both"/>
              </w:pPr>
              <w:r w:rsidRPr="00C95F78">
                <w:lastRenderedPageBreak/>
                <w:fldChar w:fldCharType="end"/>
              </w:r>
            </w:p>
          </w:sdtContent>
        </w:sdt>
        <w:p w:rsidR="004D6789" w:rsidRPr="00C95F78" w:rsidRDefault="00EB51D4" w:rsidP="00BB1A5E">
          <w:pPr>
            <w:spacing w:line="240" w:lineRule="auto"/>
            <w:contextualSpacing/>
            <w:jc w:val="both"/>
          </w:pPr>
          <w:r w:rsidRPr="00C95F78">
            <w:br w:type="page"/>
          </w:r>
        </w:p>
        <w:p w:rsidR="004D6789" w:rsidRPr="0074178D" w:rsidRDefault="00EB51D4" w:rsidP="00BB1A5E">
          <w:pPr>
            <w:spacing w:line="240" w:lineRule="auto"/>
            <w:contextualSpacing/>
            <w:jc w:val="both"/>
            <w:rPr>
              <w:rFonts w:eastAsiaTheme="majorEastAsia" w:cstheme="majorBidi"/>
              <w:b/>
              <w:bCs/>
              <w:color w:val="365F91" w:themeColor="accent1" w:themeShade="BF"/>
              <w:sz w:val="32"/>
              <w:szCs w:val="32"/>
              <w:lang w:val="en-US"/>
            </w:rPr>
          </w:pPr>
          <w:r w:rsidRPr="0074178D">
            <w:rPr>
              <w:rFonts w:eastAsiaTheme="majorEastAsia" w:cstheme="majorBidi"/>
              <w:b/>
              <w:bCs/>
              <w:color w:val="365F91" w:themeColor="accent1" w:themeShade="BF"/>
              <w:sz w:val="32"/>
              <w:szCs w:val="32"/>
              <w:lang w:val="en-US"/>
            </w:rPr>
            <w:lastRenderedPageBreak/>
            <w:t>List of Figures</w:t>
          </w:r>
        </w:p>
        <w:p w:rsidR="00256D0C" w:rsidRDefault="00D50FDC" w:rsidP="00BB1A5E">
          <w:pPr>
            <w:pStyle w:val="TableofFigures"/>
            <w:tabs>
              <w:tab w:val="right" w:leader="dot" w:pos="9174"/>
            </w:tabs>
            <w:spacing w:line="240" w:lineRule="auto"/>
            <w:jc w:val="both"/>
            <w:rPr>
              <w:rFonts w:eastAsiaTheme="minorEastAsia"/>
              <w:noProof/>
              <w:lang w:eastAsia="en-GB"/>
            </w:rPr>
          </w:pPr>
          <w:r w:rsidRPr="00C95F78">
            <w:rPr>
              <w:rFonts w:eastAsiaTheme="majorEastAsia" w:cstheme="majorBidi"/>
              <w:b/>
              <w:bCs/>
              <w:color w:val="365F91" w:themeColor="accent1" w:themeShade="BF"/>
              <w:sz w:val="28"/>
              <w:szCs w:val="28"/>
              <w:lang w:val="en-US"/>
            </w:rPr>
            <w:fldChar w:fldCharType="begin"/>
          </w:r>
          <w:r w:rsidR="005E6C0F" w:rsidRPr="00C95F78">
            <w:rPr>
              <w:rFonts w:eastAsiaTheme="majorEastAsia" w:cstheme="majorBidi"/>
              <w:b/>
              <w:bCs/>
              <w:color w:val="365F91" w:themeColor="accent1" w:themeShade="BF"/>
              <w:sz w:val="28"/>
              <w:szCs w:val="28"/>
              <w:lang w:val="en-US"/>
            </w:rPr>
            <w:instrText xml:space="preserve"> TOC \h \z \c "Figure" </w:instrText>
          </w:r>
          <w:r w:rsidRPr="00C95F78">
            <w:rPr>
              <w:rFonts w:eastAsiaTheme="majorEastAsia" w:cstheme="majorBidi"/>
              <w:b/>
              <w:bCs/>
              <w:color w:val="365F91" w:themeColor="accent1" w:themeShade="BF"/>
              <w:sz w:val="28"/>
              <w:szCs w:val="28"/>
              <w:lang w:val="en-US"/>
            </w:rPr>
            <w:fldChar w:fldCharType="separate"/>
          </w:r>
          <w:hyperlink w:anchor="_Toc263671655" w:history="1">
            <w:r w:rsidR="00256D0C" w:rsidRPr="00D03A38">
              <w:rPr>
                <w:rStyle w:val="Hyperlink"/>
                <w:noProof/>
              </w:rPr>
              <w:t>Figure 1: Society Goals and How They Affect Emerging Markets for Copper (1)</w:t>
            </w:r>
            <w:r w:rsidR="00256D0C">
              <w:rPr>
                <w:noProof/>
                <w:webHidden/>
              </w:rPr>
              <w:tab/>
            </w:r>
            <w:r>
              <w:rPr>
                <w:noProof/>
                <w:webHidden/>
              </w:rPr>
              <w:fldChar w:fldCharType="begin"/>
            </w:r>
            <w:r w:rsidR="00256D0C">
              <w:rPr>
                <w:noProof/>
                <w:webHidden/>
              </w:rPr>
              <w:instrText xml:space="preserve"> PAGEREF _Toc263671655 \h </w:instrText>
            </w:r>
            <w:r>
              <w:rPr>
                <w:noProof/>
                <w:webHidden/>
              </w:rPr>
            </w:r>
            <w:r>
              <w:rPr>
                <w:noProof/>
                <w:webHidden/>
              </w:rPr>
              <w:fldChar w:fldCharType="separate"/>
            </w:r>
            <w:r w:rsidR="0005759A">
              <w:rPr>
                <w:noProof/>
                <w:webHidden/>
              </w:rPr>
              <w:t>- 7 -</w:t>
            </w:r>
            <w:r>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56" w:history="1">
            <w:r w:rsidR="00256D0C" w:rsidRPr="00D03A38">
              <w:rPr>
                <w:rStyle w:val="Hyperlink"/>
                <w:noProof/>
              </w:rPr>
              <w:t>Figure 2: Society Goals and How They Affect Emerging Markets for Copper (2)</w:t>
            </w:r>
            <w:r w:rsidR="00256D0C">
              <w:rPr>
                <w:noProof/>
                <w:webHidden/>
              </w:rPr>
              <w:tab/>
            </w:r>
            <w:r w:rsidR="00D50FDC">
              <w:rPr>
                <w:noProof/>
                <w:webHidden/>
              </w:rPr>
              <w:fldChar w:fldCharType="begin"/>
            </w:r>
            <w:r w:rsidR="00256D0C">
              <w:rPr>
                <w:noProof/>
                <w:webHidden/>
              </w:rPr>
              <w:instrText xml:space="preserve"> PAGEREF _Toc263671656 \h </w:instrText>
            </w:r>
            <w:r w:rsidR="00D50FDC">
              <w:rPr>
                <w:noProof/>
                <w:webHidden/>
              </w:rPr>
            </w:r>
            <w:r w:rsidR="00D50FDC">
              <w:rPr>
                <w:noProof/>
                <w:webHidden/>
              </w:rPr>
              <w:fldChar w:fldCharType="separate"/>
            </w:r>
            <w:r w:rsidR="0005759A">
              <w:rPr>
                <w:noProof/>
                <w:webHidden/>
              </w:rPr>
              <w:t>- 8 -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57" w:history="1">
            <w:r w:rsidR="00256D0C" w:rsidRPr="00D03A38">
              <w:rPr>
                <w:rStyle w:val="Hyperlink"/>
                <w:noProof/>
              </w:rPr>
              <w:t>Figure 3: Society Goals and How They Affect Emerging Markets for Copper (3)</w:t>
            </w:r>
            <w:r w:rsidR="00256D0C">
              <w:rPr>
                <w:noProof/>
                <w:webHidden/>
              </w:rPr>
              <w:tab/>
            </w:r>
            <w:r w:rsidR="00D50FDC">
              <w:rPr>
                <w:noProof/>
                <w:webHidden/>
              </w:rPr>
              <w:fldChar w:fldCharType="begin"/>
            </w:r>
            <w:r w:rsidR="00256D0C">
              <w:rPr>
                <w:noProof/>
                <w:webHidden/>
              </w:rPr>
              <w:instrText xml:space="preserve"> PAGEREF _Toc263671657 \h </w:instrText>
            </w:r>
            <w:r w:rsidR="00D50FDC">
              <w:rPr>
                <w:noProof/>
                <w:webHidden/>
              </w:rPr>
            </w:r>
            <w:r w:rsidR="00D50FDC">
              <w:rPr>
                <w:noProof/>
                <w:webHidden/>
              </w:rPr>
              <w:fldChar w:fldCharType="separate"/>
            </w:r>
            <w:r w:rsidR="0005759A">
              <w:rPr>
                <w:noProof/>
                <w:webHidden/>
              </w:rPr>
              <w:t>- 9 -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58" w:history="1">
            <w:r w:rsidR="00256D0C" w:rsidRPr="00D03A38">
              <w:rPr>
                <w:rStyle w:val="Hyperlink"/>
                <w:noProof/>
              </w:rPr>
              <w:t>Figure 4: Society Goals and How They Affect Emerging Markets for Copper (4)</w:t>
            </w:r>
            <w:r w:rsidR="00256D0C">
              <w:rPr>
                <w:noProof/>
                <w:webHidden/>
              </w:rPr>
              <w:tab/>
            </w:r>
            <w:r w:rsidR="00D50FDC">
              <w:rPr>
                <w:noProof/>
                <w:webHidden/>
              </w:rPr>
              <w:fldChar w:fldCharType="begin"/>
            </w:r>
            <w:r w:rsidR="00256D0C">
              <w:rPr>
                <w:noProof/>
                <w:webHidden/>
              </w:rPr>
              <w:instrText xml:space="preserve"> PAGEREF _Toc263671658 \h </w:instrText>
            </w:r>
            <w:r w:rsidR="00D50FDC">
              <w:rPr>
                <w:noProof/>
                <w:webHidden/>
              </w:rPr>
            </w:r>
            <w:r w:rsidR="00D50FDC">
              <w:rPr>
                <w:noProof/>
                <w:webHidden/>
              </w:rPr>
              <w:fldChar w:fldCharType="separate"/>
            </w:r>
            <w:r w:rsidR="0005759A">
              <w:rPr>
                <w:noProof/>
                <w:webHidden/>
              </w:rPr>
              <w:t>- 10 -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59" w:history="1">
            <w:r w:rsidR="00256D0C" w:rsidRPr="00D03A38">
              <w:rPr>
                <w:rStyle w:val="Hyperlink"/>
                <w:noProof/>
              </w:rPr>
              <w:t>Figure 5: The Core Relationships Between Emerging Market Segments</w:t>
            </w:r>
            <w:r w:rsidR="00256D0C">
              <w:rPr>
                <w:noProof/>
                <w:webHidden/>
              </w:rPr>
              <w:tab/>
            </w:r>
            <w:r w:rsidR="00D50FDC">
              <w:rPr>
                <w:noProof/>
                <w:webHidden/>
              </w:rPr>
              <w:fldChar w:fldCharType="begin"/>
            </w:r>
            <w:r w:rsidR="00256D0C">
              <w:rPr>
                <w:noProof/>
                <w:webHidden/>
              </w:rPr>
              <w:instrText xml:space="preserve"> PAGEREF _Toc263671659 \h </w:instrText>
            </w:r>
            <w:r w:rsidR="00D50FDC">
              <w:rPr>
                <w:noProof/>
                <w:webHidden/>
              </w:rPr>
            </w:r>
            <w:r w:rsidR="00D50FDC">
              <w:rPr>
                <w:noProof/>
                <w:webHidden/>
              </w:rPr>
              <w:fldChar w:fldCharType="separate"/>
            </w:r>
            <w:r w:rsidR="0005759A">
              <w:rPr>
                <w:noProof/>
                <w:webHidden/>
              </w:rPr>
              <w:t>- 12 -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0" w:history="1">
            <w:r w:rsidR="00256D0C" w:rsidRPr="00D03A38">
              <w:rPr>
                <w:rStyle w:val="Hyperlink"/>
                <w:noProof/>
              </w:rPr>
              <w:t>Figure 6: Key Systems and Components in Emerging Market Segments</w:t>
            </w:r>
            <w:r w:rsidR="00256D0C">
              <w:rPr>
                <w:noProof/>
                <w:webHidden/>
              </w:rPr>
              <w:tab/>
            </w:r>
            <w:r w:rsidR="00D50FDC">
              <w:rPr>
                <w:noProof/>
                <w:webHidden/>
              </w:rPr>
              <w:fldChar w:fldCharType="begin"/>
            </w:r>
            <w:r w:rsidR="00256D0C">
              <w:rPr>
                <w:noProof/>
                <w:webHidden/>
              </w:rPr>
              <w:instrText xml:space="preserve"> PAGEREF _Toc263671660 \h </w:instrText>
            </w:r>
            <w:r w:rsidR="00D50FDC">
              <w:rPr>
                <w:noProof/>
                <w:webHidden/>
              </w:rPr>
            </w:r>
            <w:r w:rsidR="00D50FDC">
              <w:rPr>
                <w:noProof/>
                <w:webHidden/>
              </w:rPr>
              <w:fldChar w:fldCharType="separate"/>
            </w:r>
            <w:r w:rsidR="0005759A">
              <w:rPr>
                <w:noProof/>
                <w:webHidden/>
              </w:rPr>
              <w:t>- 13 -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1" w:history="1">
            <w:r w:rsidR="00256D0C" w:rsidRPr="00D03A38">
              <w:rPr>
                <w:rStyle w:val="Hyperlink"/>
                <w:noProof/>
              </w:rPr>
              <w:t>Figure 7: Emerging Markets for Copper: Stage 1 Filter (Objects and Systems)</w:t>
            </w:r>
            <w:r w:rsidR="00256D0C">
              <w:rPr>
                <w:noProof/>
                <w:webHidden/>
              </w:rPr>
              <w:tab/>
            </w:r>
            <w:r w:rsidR="00D50FDC">
              <w:rPr>
                <w:noProof/>
                <w:webHidden/>
              </w:rPr>
              <w:fldChar w:fldCharType="begin"/>
            </w:r>
            <w:r w:rsidR="00256D0C">
              <w:rPr>
                <w:noProof/>
                <w:webHidden/>
              </w:rPr>
              <w:instrText xml:space="preserve"> PAGEREF _Toc263671661 \h </w:instrText>
            </w:r>
            <w:r w:rsidR="00D50FDC">
              <w:rPr>
                <w:noProof/>
                <w:webHidden/>
              </w:rPr>
            </w:r>
            <w:r w:rsidR="00D50FDC">
              <w:rPr>
                <w:noProof/>
                <w:webHidden/>
              </w:rPr>
              <w:fldChar w:fldCharType="separate"/>
            </w:r>
            <w:r w:rsidR="0005759A">
              <w:rPr>
                <w:noProof/>
                <w:webHidden/>
              </w:rPr>
              <w:t>- 14 -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2" w:history="1">
            <w:r w:rsidR="00256D0C" w:rsidRPr="00D03A38">
              <w:rPr>
                <w:rStyle w:val="Hyperlink"/>
                <w:noProof/>
              </w:rPr>
              <w:t>Figure 8: Emerging Markets for Copper: Stage 1 Filter (Components)</w:t>
            </w:r>
            <w:r w:rsidR="00256D0C">
              <w:rPr>
                <w:noProof/>
                <w:webHidden/>
              </w:rPr>
              <w:tab/>
            </w:r>
            <w:r w:rsidR="00D50FDC">
              <w:rPr>
                <w:noProof/>
                <w:webHidden/>
              </w:rPr>
              <w:fldChar w:fldCharType="begin"/>
            </w:r>
            <w:r w:rsidR="00256D0C">
              <w:rPr>
                <w:noProof/>
                <w:webHidden/>
              </w:rPr>
              <w:instrText xml:space="preserve"> PAGEREF _Toc263671662 \h </w:instrText>
            </w:r>
            <w:r w:rsidR="00D50FDC">
              <w:rPr>
                <w:noProof/>
                <w:webHidden/>
              </w:rPr>
            </w:r>
            <w:r w:rsidR="00D50FDC">
              <w:rPr>
                <w:noProof/>
                <w:webHidden/>
              </w:rPr>
              <w:fldChar w:fldCharType="separate"/>
            </w:r>
            <w:r w:rsidR="0005759A">
              <w:rPr>
                <w:noProof/>
                <w:webHidden/>
              </w:rPr>
              <w:t>- 15 -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3" w:history="1">
            <w:r w:rsidR="00256D0C" w:rsidRPr="00D03A38">
              <w:rPr>
                <w:rStyle w:val="Hyperlink"/>
                <w:noProof/>
              </w:rPr>
              <w:t>Figure 9: GDP Forecast (2005 US$ billion)</w:t>
            </w:r>
            <w:r w:rsidR="00256D0C">
              <w:rPr>
                <w:noProof/>
                <w:webHidden/>
              </w:rPr>
              <w:tab/>
            </w:r>
            <w:r w:rsidR="00D50FDC">
              <w:rPr>
                <w:noProof/>
                <w:webHidden/>
              </w:rPr>
              <w:fldChar w:fldCharType="begin"/>
            </w:r>
            <w:r w:rsidR="00256D0C">
              <w:rPr>
                <w:noProof/>
                <w:webHidden/>
              </w:rPr>
              <w:instrText xml:space="preserve"> PAGEREF _Toc263671663 \h </w:instrText>
            </w:r>
            <w:r w:rsidR="00D50FDC">
              <w:rPr>
                <w:noProof/>
                <w:webHidden/>
              </w:rPr>
            </w:r>
            <w:r w:rsidR="00D50FDC">
              <w:rPr>
                <w:noProof/>
                <w:webHidden/>
              </w:rPr>
              <w:fldChar w:fldCharType="separate"/>
            </w:r>
            <w:r w:rsidR="0005759A">
              <w:rPr>
                <w:noProof/>
                <w:webHidden/>
              </w:rPr>
              <w:t>- 17 -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4" w:history="1">
            <w:r w:rsidR="00256D0C" w:rsidRPr="00D03A38">
              <w:rPr>
                <w:rStyle w:val="Hyperlink"/>
                <w:noProof/>
              </w:rPr>
              <w:t>Figure 10: Population Forecast (million)</w:t>
            </w:r>
            <w:r w:rsidR="00256D0C">
              <w:rPr>
                <w:noProof/>
                <w:webHidden/>
              </w:rPr>
              <w:tab/>
            </w:r>
            <w:r w:rsidR="00D50FDC">
              <w:rPr>
                <w:noProof/>
                <w:webHidden/>
              </w:rPr>
              <w:fldChar w:fldCharType="begin"/>
            </w:r>
            <w:r w:rsidR="00256D0C">
              <w:rPr>
                <w:noProof/>
                <w:webHidden/>
              </w:rPr>
              <w:instrText xml:space="preserve"> PAGEREF _Toc263671664 \h </w:instrText>
            </w:r>
            <w:r w:rsidR="00D50FDC">
              <w:rPr>
                <w:noProof/>
                <w:webHidden/>
              </w:rPr>
            </w:r>
            <w:r w:rsidR="00D50FDC">
              <w:rPr>
                <w:noProof/>
                <w:webHidden/>
              </w:rPr>
              <w:fldChar w:fldCharType="separate"/>
            </w:r>
            <w:r w:rsidR="0005759A">
              <w:rPr>
                <w:noProof/>
                <w:webHidden/>
              </w:rPr>
              <w:t>- 17 -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5" w:history="1">
            <w:r w:rsidR="00256D0C" w:rsidRPr="00D03A38">
              <w:rPr>
                <w:rStyle w:val="Hyperlink"/>
                <w:noProof/>
              </w:rPr>
              <w:t>Figure 11: GDP per Head (2005 US$ ‘0000)</w:t>
            </w:r>
            <w:r w:rsidR="00256D0C">
              <w:rPr>
                <w:noProof/>
                <w:webHidden/>
              </w:rPr>
              <w:tab/>
            </w:r>
            <w:r w:rsidR="00D50FDC">
              <w:rPr>
                <w:noProof/>
                <w:webHidden/>
              </w:rPr>
              <w:fldChar w:fldCharType="begin"/>
            </w:r>
            <w:r w:rsidR="00256D0C">
              <w:rPr>
                <w:noProof/>
                <w:webHidden/>
              </w:rPr>
              <w:instrText xml:space="preserve"> PAGEREF _Toc263671665 \h </w:instrText>
            </w:r>
            <w:r w:rsidR="00D50FDC">
              <w:rPr>
                <w:noProof/>
                <w:webHidden/>
              </w:rPr>
            </w:r>
            <w:r w:rsidR="00D50FDC">
              <w:rPr>
                <w:noProof/>
                <w:webHidden/>
              </w:rPr>
              <w:fldChar w:fldCharType="separate"/>
            </w:r>
            <w:r w:rsidR="0005759A">
              <w:rPr>
                <w:noProof/>
                <w:webHidden/>
              </w:rPr>
              <w:t>- 17 -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6" w:history="1">
            <w:r w:rsidR="00256D0C" w:rsidRPr="00D03A38">
              <w:rPr>
                <w:rStyle w:val="Hyperlink"/>
                <w:noProof/>
              </w:rPr>
              <w:t>Figure 12: Development Stages of Hybrid Vehicles</w:t>
            </w:r>
            <w:r w:rsidR="00256D0C">
              <w:rPr>
                <w:noProof/>
                <w:webHidden/>
              </w:rPr>
              <w:tab/>
            </w:r>
            <w:r w:rsidR="00D50FDC">
              <w:rPr>
                <w:noProof/>
                <w:webHidden/>
              </w:rPr>
              <w:fldChar w:fldCharType="begin"/>
            </w:r>
            <w:r w:rsidR="00256D0C">
              <w:rPr>
                <w:noProof/>
                <w:webHidden/>
              </w:rPr>
              <w:instrText xml:space="preserve"> PAGEREF _Toc263671666 \h </w:instrText>
            </w:r>
            <w:r w:rsidR="00D50FDC">
              <w:rPr>
                <w:noProof/>
                <w:webHidden/>
              </w:rPr>
            </w:r>
            <w:r w:rsidR="00D50FDC">
              <w:rPr>
                <w:noProof/>
                <w:webHidden/>
              </w:rPr>
              <w:fldChar w:fldCharType="separate"/>
            </w:r>
            <w:r w:rsidR="0005759A">
              <w:rPr>
                <w:noProof/>
                <w:webHidden/>
              </w:rPr>
              <w:t>- 21 -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7" w:history="1">
            <w:r w:rsidR="00256D0C" w:rsidRPr="00D03A38">
              <w:rPr>
                <w:rStyle w:val="Hyperlink"/>
                <w:noProof/>
              </w:rPr>
              <w:t>Figure 13: The Vehicle Electrification Path</w:t>
            </w:r>
            <w:r w:rsidR="00256D0C">
              <w:rPr>
                <w:noProof/>
                <w:webHidden/>
              </w:rPr>
              <w:tab/>
            </w:r>
            <w:r w:rsidR="00D50FDC">
              <w:rPr>
                <w:noProof/>
                <w:webHidden/>
              </w:rPr>
              <w:fldChar w:fldCharType="begin"/>
            </w:r>
            <w:r w:rsidR="00256D0C">
              <w:rPr>
                <w:noProof/>
                <w:webHidden/>
              </w:rPr>
              <w:instrText xml:space="preserve"> PAGEREF _Toc263671667 \h </w:instrText>
            </w:r>
            <w:r w:rsidR="00D50FDC">
              <w:rPr>
                <w:noProof/>
                <w:webHidden/>
              </w:rPr>
            </w:r>
            <w:r w:rsidR="00D50FDC">
              <w:rPr>
                <w:noProof/>
                <w:webHidden/>
              </w:rPr>
              <w:fldChar w:fldCharType="separate"/>
            </w:r>
            <w:r w:rsidR="0005759A">
              <w:rPr>
                <w:noProof/>
                <w:webHidden/>
              </w:rPr>
              <w:t>- 22 -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8" w:history="1">
            <w:r w:rsidR="00256D0C" w:rsidRPr="00D03A38">
              <w:rPr>
                <w:rStyle w:val="Hyperlink"/>
                <w:noProof/>
              </w:rPr>
              <w:t>Figure 14: Some Alternative Vehicle Models Planned</w:t>
            </w:r>
            <w:r w:rsidR="00256D0C">
              <w:rPr>
                <w:noProof/>
                <w:webHidden/>
              </w:rPr>
              <w:tab/>
            </w:r>
            <w:r w:rsidR="00D50FDC">
              <w:rPr>
                <w:noProof/>
                <w:webHidden/>
              </w:rPr>
              <w:fldChar w:fldCharType="begin"/>
            </w:r>
            <w:r w:rsidR="00256D0C">
              <w:rPr>
                <w:noProof/>
                <w:webHidden/>
              </w:rPr>
              <w:instrText xml:space="preserve"> PAGEREF _Toc263671668 \h </w:instrText>
            </w:r>
            <w:r w:rsidR="00D50FDC">
              <w:rPr>
                <w:noProof/>
                <w:webHidden/>
              </w:rPr>
            </w:r>
            <w:r w:rsidR="00D50FDC">
              <w:rPr>
                <w:noProof/>
                <w:webHidden/>
              </w:rPr>
              <w:fldChar w:fldCharType="separate"/>
            </w:r>
            <w:r w:rsidR="0005759A">
              <w:rPr>
                <w:noProof/>
                <w:webHidden/>
              </w:rPr>
              <w:t>- 24 -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69" w:history="1">
            <w:r w:rsidR="00256D0C" w:rsidRPr="00256D0C">
              <w:rPr>
                <w:rStyle w:val="Hyperlink"/>
                <w:bCs/>
                <w:noProof/>
              </w:rPr>
              <w:t>Figure 15: New Road Vehicle Output Forecast (‘000)</w:t>
            </w:r>
            <w:r w:rsidR="00256D0C">
              <w:rPr>
                <w:noProof/>
                <w:webHidden/>
              </w:rPr>
              <w:tab/>
            </w:r>
            <w:r w:rsidR="00D50FDC">
              <w:rPr>
                <w:noProof/>
                <w:webHidden/>
              </w:rPr>
              <w:fldChar w:fldCharType="begin"/>
            </w:r>
            <w:r w:rsidR="00256D0C">
              <w:rPr>
                <w:noProof/>
                <w:webHidden/>
              </w:rPr>
              <w:instrText xml:space="preserve"> PAGEREF _Toc263671669 \h </w:instrText>
            </w:r>
            <w:r w:rsidR="00D50FDC">
              <w:rPr>
                <w:noProof/>
                <w:webHidden/>
              </w:rPr>
            </w:r>
            <w:r w:rsidR="00D50FDC">
              <w:rPr>
                <w:noProof/>
                <w:webHidden/>
              </w:rPr>
              <w:fldChar w:fldCharType="separate"/>
            </w:r>
            <w:r w:rsidR="0005759A">
              <w:rPr>
                <w:noProof/>
                <w:webHidden/>
              </w:rPr>
              <w:t>- 25 -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0" w:history="1">
            <w:r w:rsidR="00256D0C" w:rsidRPr="00D03A38">
              <w:rPr>
                <w:rStyle w:val="Hyperlink"/>
                <w:noProof/>
              </w:rPr>
              <w:t>Figure 16: Alternative Road Vehicle Output Forecast (‘000 vehicles)</w:t>
            </w:r>
            <w:r w:rsidR="00256D0C">
              <w:rPr>
                <w:noProof/>
                <w:webHidden/>
              </w:rPr>
              <w:tab/>
            </w:r>
            <w:r w:rsidR="00D50FDC">
              <w:rPr>
                <w:noProof/>
                <w:webHidden/>
              </w:rPr>
              <w:fldChar w:fldCharType="begin"/>
            </w:r>
            <w:r w:rsidR="00256D0C">
              <w:rPr>
                <w:noProof/>
                <w:webHidden/>
              </w:rPr>
              <w:instrText xml:space="preserve"> PAGEREF _Toc263671670 \h </w:instrText>
            </w:r>
            <w:r w:rsidR="00D50FDC">
              <w:rPr>
                <w:noProof/>
                <w:webHidden/>
              </w:rPr>
            </w:r>
            <w:r w:rsidR="00D50FDC">
              <w:rPr>
                <w:noProof/>
                <w:webHidden/>
              </w:rPr>
              <w:fldChar w:fldCharType="separate"/>
            </w:r>
            <w:r w:rsidR="0005759A">
              <w:rPr>
                <w:noProof/>
                <w:webHidden/>
              </w:rPr>
              <w:t>- 25 -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1" w:history="1">
            <w:r w:rsidR="00256D0C" w:rsidRPr="00D03A38">
              <w:rPr>
                <w:rStyle w:val="Hyperlink"/>
                <w:noProof/>
              </w:rPr>
              <w:t>Figure 17: Forecast Share of Output of Alternative Road Vehicles</w:t>
            </w:r>
            <w:r w:rsidR="00256D0C">
              <w:rPr>
                <w:noProof/>
                <w:webHidden/>
              </w:rPr>
              <w:tab/>
            </w:r>
            <w:r w:rsidR="00D50FDC">
              <w:rPr>
                <w:noProof/>
                <w:webHidden/>
              </w:rPr>
              <w:fldChar w:fldCharType="begin"/>
            </w:r>
            <w:r w:rsidR="00256D0C">
              <w:rPr>
                <w:noProof/>
                <w:webHidden/>
              </w:rPr>
              <w:instrText xml:space="preserve"> PAGEREF _Toc263671671 \h </w:instrText>
            </w:r>
            <w:r w:rsidR="00D50FDC">
              <w:rPr>
                <w:noProof/>
                <w:webHidden/>
              </w:rPr>
            </w:r>
            <w:r w:rsidR="00D50FDC">
              <w:rPr>
                <w:noProof/>
                <w:webHidden/>
              </w:rPr>
              <w:fldChar w:fldCharType="separate"/>
            </w:r>
            <w:r w:rsidR="0005759A">
              <w:rPr>
                <w:noProof/>
                <w:webHidden/>
              </w:rPr>
              <w:t>- 25 -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2" w:history="1">
            <w:r w:rsidR="00256D0C" w:rsidRPr="00D03A38">
              <w:rPr>
                <w:rStyle w:val="Hyperlink"/>
                <w:noProof/>
              </w:rPr>
              <w:t>Figure 18: Hybrid Electric Vehicle Output Forecast (‘000 vehicles)</w:t>
            </w:r>
            <w:r w:rsidR="00256D0C">
              <w:rPr>
                <w:noProof/>
                <w:webHidden/>
              </w:rPr>
              <w:tab/>
            </w:r>
            <w:r w:rsidR="00D50FDC">
              <w:rPr>
                <w:noProof/>
                <w:webHidden/>
              </w:rPr>
              <w:fldChar w:fldCharType="begin"/>
            </w:r>
            <w:r w:rsidR="00256D0C">
              <w:rPr>
                <w:noProof/>
                <w:webHidden/>
              </w:rPr>
              <w:instrText xml:space="preserve"> PAGEREF _Toc263671672 \h </w:instrText>
            </w:r>
            <w:r w:rsidR="00D50FDC">
              <w:rPr>
                <w:noProof/>
                <w:webHidden/>
              </w:rPr>
            </w:r>
            <w:r w:rsidR="00D50FDC">
              <w:rPr>
                <w:noProof/>
                <w:webHidden/>
              </w:rPr>
              <w:fldChar w:fldCharType="separate"/>
            </w:r>
            <w:r w:rsidR="0005759A">
              <w:rPr>
                <w:noProof/>
                <w:webHidden/>
              </w:rPr>
              <w:t>- 26 -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3" w:history="1">
            <w:r w:rsidR="00256D0C" w:rsidRPr="00D03A38">
              <w:rPr>
                <w:rStyle w:val="Hyperlink"/>
                <w:noProof/>
              </w:rPr>
              <w:t>Figure 19: Forecast Share of HEVs of All Alternative Vehicle Output</w:t>
            </w:r>
            <w:r w:rsidR="00256D0C">
              <w:rPr>
                <w:noProof/>
                <w:webHidden/>
              </w:rPr>
              <w:tab/>
            </w:r>
            <w:r w:rsidR="00D50FDC">
              <w:rPr>
                <w:noProof/>
                <w:webHidden/>
              </w:rPr>
              <w:fldChar w:fldCharType="begin"/>
            </w:r>
            <w:r w:rsidR="00256D0C">
              <w:rPr>
                <w:noProof/>
                <w:webHidden/>
              </w:rPr>
              <w:instrText xml:space="preserve"> PAGEREF _Toc263671673 \h </w:instrText>
            </w:r>
            <w:r w:rsidR="00D50FDC">
              <w:rPr>
                <w:noProof/>
                <w:webHidden/>
              </w:rPr>
            </w:r>
            <w:r w:rsidR="00D50FDC">
              <w:rPr>
                <w:noProof/>
                <w:webHidden/>
              </w:rPr>
              <w:fldChar w:fldCharType="separate"/>
            </w:r>
            <w:r w:rsidR="0005759A">
              <w:rPr>
                <w:noProof/>
                <w:webHidden/>
              </w:rPr>
              <w:t>- 26 -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4" w:history="1">
            <w:r w:rsidR="00256D0C" w:rsidRPr="00D03A38">
              <w:rPr>
                <w:rStyle w:val="Hyperlink"/>
                <w:noProof/>
              </w:rPr>
              <w:t>Figure 20: Plug-in Hybrid Electric Vehicle Output Forecast (‘000 vehicles)</w:t>
            </w:r>
            <w:r w:rsidR="00256D0C">
              <w:rPr>
                <w:noProof/>
                <w:webHidden/>
              </w:rPr>
              <w:tab/>
            </w:r>
            <w:r w:rsidR="00D50FDC">
              <w:rPr>
                <w:noProof/>
                <w:webHidden/>
              </w:rPr>
              <w:fldChar w:fldCharType="begin"/>
            </w:r>
            <w:r w:rsidR="00256D0C">
              <w:rPr>
                <w:noProof/>
                <w:webHidden/>
              </w:rPr>
              <w:instrText xml:space="preserve"> PAGEREF _Toc263671674 \h </w:instrText>
            </w:r>
            <w:r w:rsidR="00D50FDC">
              <w:rPr>
                <w:noProof/>
                <w:webHidden/>
              </w:rPr>
            </w:r>
            <w:r w:rsidR="00D50FDC">
              <w:rPr>
                <w:noProof/>
                <w:webHidden/>
              </w:rPr>
              <w:fldChar w:fldCharType="separate"/>
            </w:r>
            <w:r w:rsidR="0005759A">
              <w:rPr>
                <w:noProof/>
                <w:webHidden/>
              </w:rPr>
              <w:t>- 27 -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5" w:history="1">
            <w:r w:rsidR="00256D0C" w:rsidRPr="00D03A38">
              <w:rPr>
                <w:rStyle w:val="Hyperlink"/>
                <w:noProof/>
              </w:rPr>
              <w:t>Figure 21: Forecast Share of PHEVs of All Alternative Vehicle Output</w:t>
            </w:r>
            <w:r w:rsidR="00256D0C">
              <w:rPr>
                <w:noProof/>
                <w:webHidden/>
              </w:rPr>
              <w:tab/>
            </w:r>
            <w:r w:rsidR="00D50FDC">
              <w:rPr>
                <w:noProof/>
                <w:webHidden/>
              </w:rPr>
              <w:fldChar w:fldCharType="begin"/>
            </w:r>
            <w:r w:rsidR="00256D0C">
              <w:rPr>
                <w:noProof/>
                <w:webHidden/>
              </w:rPr>
              <w:instrText xml:space="preserve"> PAGEREF _Toc263671675 \h </w:instrText>
            </w:r>
            <w:r w:rsidR="00D50FDC">
              <w:rPr>
                <w:noProof/>
                <w:webHidden/>
              </w:rPr>
            </w:r>
            <w:r w:rsidR="00D50FDC">
              <w:rPr>
                <w:noProof/>
                <w:webHidden/>
              </w:rPr>
              <w:fldChar w:fldCharType="separate"/>
            </w:r>
            <w:r w:rsidR="0005759A">
              <w:rPr>
                <w:noProof/>
                <w:webHidden/>
              </w:rPr>
              <w:t>- 27 -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6" w:history="1">
            <w:r w:rsidR="00256D0C" w:rsidRPr="00D03A38">
              <w:rPr>
                <w:rStyle w:val="Hyperlink"/>
                <w:noProof/>
              </w:rPr>
              <w:t>Figure 22: Battery Electric Vehicle Output Forecast (‘000 vehicles)</w:t>
            </w:r>
            <w:r w:rsidR="00256D0C">
              <w:rPr>
                <w:noProof/>
                <w:webHidden/>
              </w:rPr>
              <w:tab/>
            </w:r>
            <w:r w:rsidR="00D50FDC">
              <w:rPr>
                <w:noProof/>
                <w:webHidden/>
              </w:rPr>
              <w:fldChar w:fldCharType="begin"/>
            </w:r>
            <w:r w:rsidR="00256D0C">
              <w:rPr>
                <w:noProof/>
                <w:webHidden/>
              </w:rPr>
              <w:instrText xml:space="preserve"> PAGEREF _Toc263671676 \h </w:instrText>
            </w:r>
            <w:r w:rsidR="00D50FDC">
              <w:rPr>
                <w:noProof/>
                <w:webHidden/>
              </w:rPr>
            </w:r>
            <w:r w:rsidR="00D50FDC">
              <w:rPr>
                <w:noProof/>
                <w:webHidden/>
              </w:rPr>
              <w:fldChar w:fldCharType="separate"/>
            </w:r>
            <w:r w:rsidR="0005759A">
              <w:rPr>
                <w:noProof/>
                <w:webHidden/>
              </w:rPr>
              <w:t>- 28 -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7" w:history="1">
            <w:r w:rsidR="00256D0C" w:rsidRPr="00D03A38">
              <w:rPr>
                <w:rStyle w:val="Hyperlink"/>
                <w:noProof/>
              </w:rPr>
              <w:t>Figure 23: Share Forecast Share of BEVs of All Alternative Vehicle Output</w:t>
            </w:r>
            <w:r w:rsidR="00256D0C">
              <w:rPr>
                <w:noProof/>
                <w:webHidden/>
              </w:rPr>
              <w:tab/>
            </w:r>
            <w:r w:rsidR="00D50FDC">
              <w:rPr>
                <w:noProof/>
                <w:webHidden/>
              </w:rPr>
              <w:fldChar w:fldCharType="begin"/>
            </w:r>
            <w:r w:rsidR="00256D0C">
              <w:rPr>
                <w:noProof/>
                <w:webHidden/>
              </w:rPr>
              <w:instrText xml:space="preserve"> PAGEREF _Toc263671677 \h </w:instrText>
            </w:r>
            <w:r w:rsidR="00D50FDC">
              <w:rPr>
                <w:noProof/>
                <w:webHidden/>
              </w:rPr>
            </w:r>
            <w:r w:rsidR="00D50FDC">
              <w:rPr>
                <w:noProof/>
                <w:webHidden/>
              </w:rPr>
              <w:fldChar w:fldCharType="separate"/>
            </w:r>
            <w:r w:rsidR="0005759A">
              <w:rPr>
                <w:noProof/>
                <w:webHidden/>
              </w:rPr>
              <w:t>- 28 -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8" w:history="1">
            <w:r w:rsidR="00256D0C" w:rsidRPr="00D03A38">
              <w:rPr>
                <w:rStyle w:val="Hyperlink"/>
                <w:noProof/>
              </w:rPr>
              <w:t>Figure 24: Fuel Cell Electric Vehicle Output Forecast (‘000 vehicles)</w:t>
            </w:r>
            <w:r w:rsidR="00256D0C">
              <w:rPr>
                <w:noProof/>
                <w:webHidden/>
              </w:rPr>
              <w:tab/>
            </w:r>
            <w:r w:rsidR="00D50FDC">
              <w:rPr>
                <w:noProof/>
                <w:webHidden/>
              </w:rPr>
              <w:fldChar w:fldCharType="begin"/>
            </w:r>
            <w:r w:rsidR="00256D0C">
              <w:rPr>
                <w:noProof/>
                <w:webHidden/>
              </w:rPr>
              <w:instrText xml:space="preserve"> PAGEREF _Toc263671678 \h </w:instrText>
            </w:r>
            <w:r w:rsidR="00D50FDC">
              <w:rPr>
                <w:noProof/>
                <w:webHidden/>
              </w:rPr>
            </w:r>
            <w:r w:rsidR="00D50FDC">
              <w:rPr>
                <w:noProof/>
                <w:webHidden/>
              </w:rPr>
              <w:fldChar w:fldCharType="separate"/>
            </w:r>
            <w:r w:rsidR="0005759A">
              <w:rPr>
                <w:noProof/>
                <w:webHidden/>
              </w:rPr>
              <w:t>- 29 -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79" w:history="1">
            <w:r w:rsidR="00256D0C" w:rsidRPr="00D03A38">
              <w:rPr>
                <w:rStyle w:val="Hyperlink"/>
                <w:noProof/>
              </w:rPr>
              <w:t>Figure 25: Share Forecast Share of FCEVs of All Alternative Vehicle Output</w:t>
            </w:r>
            <w:r w:rsidR="00256D0C">
              <w:rPr>
                <w:noProof/>
                <w:webHidden/>
              </w:rPr>
              <w:tab/>
            </w:r>
            <w:r w:rsidR="00D50FDC">
              <w:rPr>
                <w:noProof/>
                <w:webHidden/>
              </w:rPr>
              <w:fldChar w:fldCharType="begin"/>
            </w:r>
            <w:r w:rsidR="00256D0C">
              <w:rPr>
                <w:noProof/>
                <w:webHidden/>
              </w:rPr>
              <w:instrText xml:space="preserve"> PAGEREF _Toc263671679 \h </w:instrText>
            </w:r>
            <w:r w:rsidR="00D50FDC">
              <w:rPr>
                <w:noProof/>
                <w:webHidden/>
              </w:rPr>
            </w:r>
            <w:r w:rsidR="00D50FDC">
              <w:rPr>
                <w:noProof/>
                <w:webHidden/>
              </w:rPr>
              <w:fldChar w:fldCharType="separate"/>
            </w:r>
            <w:r w:rsidR="0005759A">
              <w:rPr>
                <w:noProof/>
                <w:webHidden/>
              </w:rPr>
              <w:t>- 29 -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0" w:history="1">
            <w:r w:rsidR="00256D0C" w:rsidRPr="00D03A38">
              <w:rPr>
                <w:rStyle w:val="Hyperlink"/>
                <w:noProof/>
              </w:rPr>
              <w:t>Figure 26 ICE Vehicle Output Forecast (‘000 vehicles)</w:t>
            </w:r>
            <w:r w:rsidR="00256D0C">
              <w:rPr>
                <w:noProof/>
                <w:webHidden/>
              </w:rPr>
              <w:tab/>
            </w:r>
            <w:r w:rsidR="00D50FDC">
              <w:rPr>
                <w:noProof/>
                <w:webHidden/>
              </w:rPr>
              <w:fldChar w:fldCharType="begin"/>
            </w:r>
            <w:r w:rsidR="00256D0C">
              <w:rPr>
                <w:noProof/>
                <w:webHidden/>
              </w:rPr>
              <w:instrText xml:space="preserve"> PAGEREF _Toc263671680 \h </w:instrText>
            </w:r>
            <w:r w:rsidR="00D50FDC">
              <w:rPr>
                <w:noProof/>
                <w:webHidden/>
              </w:rPr>
            </w:r>
            <w:r w:rsidR="00D50FDC">
              <w:rPr>
                <w:noProof/>
                <w:webHidden/>
              </w:rPr>
              <w:fldChar w:fldCharType="separate"/>
            </w:r>
            <w:r w:rsidR="0005759A">
              <w:rPr>
                <w:noProof/>
                <w:webHidden/>
              </w:rPr>
              <w:t>- 30 -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1" w:history="1">
            <w:r w:rsidR="00256D0C" w:rsidRPr="00D03A38">
              <w:rPr>
                <w:rStyle w:val="Hyperlink"/>
                <w:noProof/>
              </w:rPr>
              <w:t>Figure 27: Forecast Share of ICE Vehicles of All Vehicle Output</w:t>
            </w:r>
            <w:r w:rsidR="00256D0C">
              <w:rPr>
                <w:noProof/>
                <w:webHidden/>
              </w:rPr>
              <w:tab/>
            </w:r>
            <w:r w:rsidR="00D50FDC">
              <w:rPr>
                <w:noProof/>
                <w:webHidden/>
              </w:rPr>
              <w:fldChar w:fldCharType="begin"/>
            </w:r>
            <w:r w:rsidR="00256D0C">
              <w:rPr>
                <w:noProof/>
                <w:webHidden/>
              </w:rPr>
              <w:instrText xml:space="preserve"> PAGEREF _Toc263671681 \h </w:instrText>
            </w:r>
            <w:r w:rsidR="00D50FDC">
              <w:rPr>
                <w:noProof/>
                <w:webHidden/>
              </w:rPr>
            </w:r>
            <w:r w:rsidR="00D50FDC">
              <w:rPr>
                <w:noProof/>
                <w:webHidden/>
              </w:rPr>
              <w:fldChar w:fldCharType="separate"/>
            </w:r>
            <w:r w:rsidR="0005759A">
              <w:rPr>
                <w:noProof/>
                <w:webHidden/>
              </w:rPr>
              <w:t>- 30 -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2" w:history="1">
            <w:r w:rsidR="00256D0C" w:rsidRPr="00D03A38">
              <w:rPr>
                <w:rStyle w:val="Hyperlink"/>
                <w:noProof/>
              </w:rPr>
              <w:t>Figure 28: Forecast Share of ICE Vehicles with Enhanced Features</w:t>
            </w:r>
            <w:r w:rsidR="00256D0C">
              <w:rPr>
                <w:noProof/>
                <w:webHidden/>
              </w:rPr>
              <w:tab/>
            </w:r>
            <w:r w:rsidR="00D50FDC">
              <w:rPr>
                <w:noProof/>
                <w:webHidden/>
              </w:rPr>
              <w:fldChar w:fldCharType="begin"/>
            </w:r>
            <w:r w:rsidR="00256D0C">
              <w:rPr>
                <w:noProof/>
                <w:webHidden/>
              </w:rPr>
              <w:instrText xml:space="preserve"> PAGEREF _Toc263671682 \h </w:instrText>
            </w:r>
            <w:r w:rsidR="00D50FDC">
              <w:rPr>
                <w:noProof/>
                <w:webHidden/>
              </w:rPr>
            </w:r>
            <w:r w:rsidR="00D50FDC">
              <w:rPr>
                <w:noProof/>
                <w:webHidden/>
              </w:rPr>
              <w:fldChar w:fldCharType="separate"/>
            </w:r>
            <w:r w:rsidR="0005759A">
              <w:rPr>
                <w:noProof/>
                <w:webHidden/>
              </w:rPr>
              <w:t>- 30 -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3" w:history="1">
            <w:r w:rsidR="00256D0C" w:rsidRPr="00D03A38">
              <w:rPr>
                <w:rStyle w:val="Hyperlink"/>
                <w:noProof/>
              </w:rPr>
              <w:t>Figure 29: Schematic Diagram of a PHEV</w:t>
            </w:r>
            <w:r w:rsidR="00256D0C">
              <w:rPr>
                <w:noProof/>
                <w:webHidden/>
              </w:rPr>
              <w:tab/>
            </w:r>
            <w:r w:rsidR="00D50FDC">
              <w:rPr>
                <w:noProof/>
                <w:webHidden/>
              </w:rPr>
              <w:fldChar w:fldCharType="begin"/>
            </w:r>
            <w:r w:rsidR="00256D0C">
              <w:rPr>
                <w:noProof/>
                <w:webHidden/>
              </w:rPr>
              <w:instrText xml:space="preserve"> PAGEREF _Toc263671683 \h </w:instrText>
            </w:r>
            <w:r w:rsidR="00D50FDC">
              <w:rPr>
                <w:noProof/>
                <w:webHidden/>
              </w:rPr>
            </w:r>
            <w:r w:rsidR="00D50FDC">
              <w:rPr>
                <w:noProof/>
                <w:webHidden/>
              </w:rPr>
              <w:fldChar w:fldCharType="separate"/>
            </w:r>
            <w:r w:rsidR="0005759A">
              <w:rPr>
                <w:noProof/>
                <w:webHidden/>
              </w:rPr>
              <w:t>- 31 -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4" w:history="1">
            <w:r w:rsidR="00256D0C" w:rsidRPr="00D03A38">
              <w:rPr>
                <w:rStyle w:val="Hyperlink"/>
                <w:noProof/>
              </w:rPr>
              <w:t>Figure 30: Additional Copper per Vehicle (kg)</w:t>
            </w:r>
            <w:r w:rsidR="00256D0C">
              <w:rPr>
                <w:noProof/>
                <w:webHidden/>
              </w:rPr>
              <w:tab/>
            </w:r>
            <w:r w:rsidR="00D50FDC">
              <w:rPr>
                <w:noProof/>
                <w:webHidden/>
              </w:rPr>
              <w:fldChar w:fldCharType="begin"/>
            </w:r>
            <w:r w:rsidR="00256D0C">
              <w:rPr>
                <w:noProof/>
                <w:webHidden/>
              </w:rPr>
              <w:instrText xml:space="preserve"> PAGEREF _Toc263671684 \h </w:instrText>
            </w:r>
            <w:r w:rsidR="00D50FDC">
              <w:rPr>
                <w:noProof/>
                <w:webHidden/>
              </w:rPr>
            </w:r>
            <w:r w:rsidR="00D50FDC">
              <w:rPr>
                <w:noProof/>
                <w:webHidden/>
              </w:rPr>
              <w:fldChar w:fldCharType="separate"/>
            </w:r>
            <w:r w:rsidR="0005759A">
              <w:rPr>
                <w:noProof/>
                <w:webHidden/>
              </w:rPr>
              <w:t>- 32 -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5" w:history="1">
            <w:r w:rsidR="00256D0C" w:rsidRPr="00D03A38">
              <w:rPr>
                <w:rStyle w:val="Hyperlink"/>
                <w:noProof/>
              </w:rPr>
              <w:t>Figure 31: High Voltage Wiring in a PHEV</w:t>
            </w:r>
            <w:r w:rsidR="00256D0C">
              <w:rPr>
                <w:noProof/>
                <w:webHidden/>
              </w:rPr>
              <w:tab/>
            </w:r>
            <w:r w:rsidR="00D50FDC">
              <w:rPr>
                <w:noProof/>
                <w:webHidden/>
              </w:rPr>
              <w:fldChar w:fldCharType="begin"/>
            </w:r>
            <w:r w:rsidR="00256D0C">
              <w:rPr>
                <w:noProof/>
                <w:webHidden/>
              </w:rPr>
              <w:instrText xml:space="preserve"> PAGEREF _Toc263671685 \h </w:instrText>
            </w:r>
            <w:r w:rsidR="00D50FDC">
              <w:rPr>
                <w:noProof/>
                <w:webHidden/>
              </w:rPr>
            </w:r>
            <w:r w:rsidR="00D50FDC">
              <w:rPr>
                <w:noProof/>
                <w:webHidden/>
              </w:rPr>
              <w:fldChar w:fldCharType="separate"/>
            </w:r>
            <w:r w:rsidR="0005759A">
              <w:rPr>
                <w:noProof/>
                <w:webHidden/>
              </w:rPr>
              <w:t>- 33 -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6" w:history="1">
            <w:r w:rsidR="00256D0C" w:rsidRPr="00D03A38">
              <w:rPr>
                <w:rStyle w:val="Hyperlink"/>
                <w:noProof/>
              </w:rPr>
              <w:t>Figure 32: Materials Content of Li Batteries</w:t>
            </w:r>
            <w:r w:rsidR="00256D0C">
              <w:rPr>
                <w:noProof/>
                <w:webHidden/>
              </w:rPr>
              <w:tab/>
            </w:r>
            <w:r w:rsidR="00D50FDC">
              <w:rPr>
                <w:noProof/>
                <w:webHidden/>
              </w:rPr>
              <w:fldChar w:fldCharType="begin"/>
            </w:r>
            <w:r w:rsidR="00256D0C">
              <w:rPr>
                <w:noProof/>
                <w:webHidden/>
              </w:rPr>
              <w:instrText xml:space="preserve"> PAGEREF _Toc263671686 \h </w:instrText>
            </w:r>
            <w:r w:rsidR="00D50FDC">
              <w:rPr>
                <w:noProof/>
                <w:webHidden/>
              </w:rPr>
            </w:r>
            <w:r w:rsidR="00D50FDC">
              <w:rPr>
                <w:noProof/>
                <w:webHidden/>
              </w:rPr>
              <w:fldChar w:fldCharType="separate"/>
            </w:r>
            <w:r w:rsidR="0005759A">
              <w:rPr>
                <w:noProof/>
                <w:webHidden/>
              </w:rPr>
              <w:t>- 34 -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7" w:history="1">
            <w:r w:rsidR="00256D0C" w:rsidRPr="00D03A38">
              <w:rPr>
                <w:rStyle w:val="Hyperlink"/>
                <w:noProof/>
              </w:rPr>
              <w:t>Figure 33: Home Charging Infrastructure</w:t>
            </w:r>
            <w:r w:rsidR="00256D0C">
              <w:rPr>
                <w:noProof/>
                <w:webHidden/>
              </w:rPr>
              <w:tab/>
            </w:r>
            <w:r w:rsidR="00D50FDC">
              <w:rPr>
                <w:noProof/>
                <w:webHidden/>
              </w:rPr>
              <w:fldChar w:fldCharType="begin"/>
            </w:r>
            <w:r w:rsidR="00256D0C">
              <w:rPr>
                <w:noProof/>
                <w:webHidden/>
              </w:rPr>
              <w:instrText xml:space="preserve"> PAGEREF _Toc263671687 \h </w:instrText>
            </w:r>
            <w:r w:rsidR="00D50FDC">
              <w:rPr>
                <w:noProof/>
                <w:webHidden/>
              </w:rPr>
            </w:r>
            <w:r w:rsidR="00D50FDC">
              <w:rPr>
                <w:noProof/>
                <w:webHidden/>
              </w:rPr>
              <w:fldChar w:fldCharType="separate"/>
            </w:r>
            <w:r w:rsidR="0005759A">
              <w:rPr>
                <w:noProof/>
                <w:webHidden/>
              </w:rPr>
              <w:t>- 35 -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8" w:history="1">
            <w:r w:rsidR="00256D0C" w:rsidRPr="00D03A38">
              <w:rPr>
                <w:rStyle w:val="Hyperlink"/>
                <w:noProof/>
              </w:rPr>
              <w:t>Figure 34: Unpackaged Power Semiconductor Assembly for a DC to AC Inverter</w:t>
            </w:r>
            <w:r w:rsidR="00256D0C">
              <w:rPr>
                <w:noProof/>
                <w:webHidden/>
              </w:rPr>
              <w:tab/>
            </w:r>
            <w:r w:rsidR="00D50FDC">
              <w:rPr>
                <w:noProof/>
                <w:webHidden/>
              </w:rPr>
              <w:fldChar w:fldCharType="begin"/>
            </w:r>
            <w:r w:rsidR="00256D0C">
              <w:rPr>
                <w:noProof/>
                <w:webHidden/>
              </w:rPr>
              <w:instrText xml:space="preserve"> PAGEREF _Toc263671688 \h </w:instrText>
            </w:r>
            <w:r w:rsidR="00D50FDC">
              <w:rPr>
                <w:noProof/>
                <w:webHidden/>
              </w:rPr>
            </w:r>
            <w:r w:rsidR="00D50FDC">
              <w:rPr>
                <w:noProof/>
                <w:webHidden/>
              </w:rPr>
              <w:fldChar w:fldCharType="separate"/>
            </w:r>
            <w:r w:rsidR="0005759A">
              <w:rPr>
                <w:noProof/>
                <w:webHidden/>
              </w:rPr>
              <w:t>- 38 -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89" w:history="1">
            <w:r w:rsidR="00256D0C" w:rsidRPr="00D03A38">
              <w:rPr>
                <w:rStyle w:val="Hyperlink"/>
                <w:noProof/>
              </w:rPr>
              <w:t>Figure 35: Alternative Vehicle Incremental Market for Copper (kt Cu)</w:t>
            </w:r>
            <w:r w:rsidR="00256D0C">
              <w:rPr>
                <w:noProof/>
                <w:webHidden/>
              </w:rPr>
              <w:tab/>
            </w:r>
            <w:r w:rsidR="00D50FDC">
              <w:rPr>
                <w:noProof/>
                <w:webHidden/>
              </w:rPr>
              <w:fldChar w:fldCharType="begin"/>
            </w:r>
            <w:r w:rsidR="00256D0C">
              <w:rPr>
                <w:noProof/>
                <w:webHidden/>
              </w:rPr>
              <w:instrText xml:space="preserve"> PAGEREF _Toc263671689 \h </w:instrText>
            </w:r>
            <w:r w:rsidR="00D50FDC">
              <w:rPr>
                <w:noProof/>
                <w:webHidden/>
              </w:rPr>
            </w:r>
            <w:r w:rsidR="00D50FDC">
              <w:rPr>
                <w:noProof/>
                <w:webHidden/>
              </w:rPr>
              <w:fldChar w:fldCharType="separate"/>
            </w:r>
            <w:r w:rsidR="0005759A">
              <w:rPr>
                <w:noProof/>
                <w:webHidden/>
              </w:rPr>
              <w:t>- 41 -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0" w:history="1">
            <w:r w:rsidR="00256D0C" w:rsidRPr="00D03A38">
              <w:rPr>
                <w:rStyle w:val="Hyperlink"/>
                <w:noProof/>
              </w:rPr>
              <w:t>Figure 36: HEV Incremental Market for Copper (k Cu)</w:t>
            </w:r>
            <w:r w:rsidR="00256D0C">
              <w:rPr>
                <w:noProof/>
                <w:webHidden/>
              </w:rPr>
              <w:tab/>
            </w:r>
            <w:r w:rsidR="00D50FDC">
              <w:rPr>
                <w:noProof/>
                <w:webHidden/>
              </w:rPr>
              <w:fldChar w:fldCharType="begin"/>
            </w:r>
            <w:r w:rsidR="00256D0C">
              <w:rPr>
                <w:noProof/>
                <w:webHidden/>
              </w:rPr>
              <w:instrText xml:space="preserve"> PAGEREF _Toc263671690 \h </w:instrText>
            </w:r>
            <w:r w:rsidR="00D50FDC">
              <w:rPr>
                <w:noProof/>
                <w:webHidden/>
              </w:rPr>
            </w:r>
            <w:r w:rsidR="00D50FDC">
              <w:rPr>
                <w:noProof/>
                <w:webHidden/>
              </w:rPr>
              <w:fldChar w:fldCharType="separate"/>
            </w:r>
            <w:r w:rsidR="0005759A">
              <w:rPr>
                <w:noProof/>
                <w:webHidden/>
              </w:rPr>
              <w:t>- 41 -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1" w:history="1">
            <w:r w:rsidR="00256D0C" w:rsidRPr="00D03A38">
              <w:rPr>
                <w:rStyle w:val="Hyperlink"/>
                <w:noProof/>
              </w:rPr>
              <w:t>Figure 37: PHEV Incremental Market for Copper (kt Cu)</w:t>
            </w:r>
            <w:r w:rsidR="00256D0C">
              <w:rPr>
                <w:noProof/>
                <w:webHidden/>
              </w:rPr>
              <w:tab/>
            </w:r>
            <w:r w:rsidR="00D50FDC">
              <w:rPr>
                <w:noProof/>
                <w:webHidden/>
              </w:rPr>
              <w:fldChar w:fldCharType="begin"/>
            </w:r>
            <w:r w:rsidR="00256D0C">
              <w:rPr>
                <w:noProof/>
                <w:webHidden/>
              </w:rPr>
              <w:instrText xml:space="preserve"> PAGEREF _Toc263671691 \h </w:instrText>
            </w:r>
            <w:r w:rsidR="00D50FDC">
              <w:rPr>
                <w:noProof/>
                <w:webHidden/>
              </w:rPr>
            </w:r>
            <w:r w:rsidR="00D50FDC">
              <w:rPr>
                <w:noProof/>
                <w:webHidden/>
              </w:rPr>
              <w:fldChar w:fldCharType="separate"/>
            </w:r>
            <w:r w:rsidR="0005759A">
              <w:rPr>
                <w:noProof/>
                <w:webHidden/>
              </w:rPr>
              <w:t>- 41 -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2" w:history="1">
            <w:r w:rsidR="00256D0C" w:rsidRPr="00D03A38">
              <w:rPr>
                <w:rStyle w:val="Hyperlink"/>
                <w:noProof/>
              </w:rPr>
              <w:t>Figure 38: BEV Incremental Market for Copper (kt of Cu)</w:t>
            </w:r>
            <w:r w:rsidR="00256D0C">
              <w:rPr>
                <w:noProof/>
                <w:webHidden/>
              </w:rPr>
              <w:tab/>
            </w:r>
            <w:r w:rsidR="00D50FDC">
              <w:rPr>
                <w:noProof/>
                <w:webHidden/>
              </w:rPr>
              <w:fldChar w:fldCharType="begin"/>
            </w:r>
            <w:r w:rsidR="00256D0C">
              <w:rPr>
                <w:noProof/>
                <w:webHidden/>
              </w:rPr>
              <w:instrText xml:space="preserve"> PAGEREF _Toc263671692 \h </w:instrText>
            </w:r>
            <w:r w:rsidR="00D50FDC">
              <w:rPr>
                <w:noProof/>
                <w:webHidden/>
              </w:rPr>
            </w:r>
            <w:r w:rsidR="00D50FDC">
              <w:rPr>
                <w:noProof/>
                <w:webHidden/>
              </w:rPr>
              <w:fldChar w:fldCharType="separate"/>
            </w:r>
            <w:r w:rsidR="0005759A">
              <w:rPr>
                <w:noProof/>
                <w:webHidden/>
              </w:rPr>
              <w:t>- 42 -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3" w:history="1">
            <w:r w:rsidR="00256D0C" w:rsidRPr="00D03A38">
              <w:rPr>
                <w:rStyle w:val="Hyperlink"/>
                <w:noProof/>
              </w:rPr>
              <w:t>Figure 39: FCEV Incremental Market for Copper (kt Cu)</w:t>
            </w:r>
            <w:r w:rsidR="00256D0C">
              <w:rPr>
                <w:noProof/>
                <w:webHidden/>
              </w:rPr>
              <w:tab/>
            </w:r>
            <w:r w:rsidR="00D50FDC">
              <w:rPr>
                <w:noProof/>
                <w:webHidden/>
              </w:rPr>
              <w:fldChar w:fldCharType="begin"/>
            </w:r>
            <w:r w:rsidR="00256D0C">
              <w:rPr>
                <w:noProof/>
                <w:webHidden/>
              </w:rPr>
              <w:instrText xml:space="preserve"> PAGEREF _Toc263671693 \h </w:instrText>
            </w:r>
            <w:r w:rsidR="00D50FDC">
              <w:rPr>
                <w:noProof/>
                <w:webHidden/>
              </w:rPr>
            </w:r>
            <w:r w:rsidR="00D50FDC">
              <w:rPr>
                <w:noProof/>
                <w:webHidden/>
              </w:rPr>
              <w:fldChar w:fldCharType="separate"/>
            </w:r>
            <w:r w:rsidR="0005759A">
              <w:rPr>
                <w:noProof/>
                <w:webHidden/>
              </w:rPr>
              <w:t>- 42 -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4" w:history="1">
            <w:r w:rsidR="00256D0C" w:rsidRPr="00D03A38">
              <w:rPr>
                <w:rStyle w:val="Hyperlink"/>
                <w:noProof/>
              </w:rPr>
              <w:t>Figure 40: Enhanced ICV Incremental Market for Copper (kt Cu)</w:t>
            </w:r>
            <w:r w:rsidR="00256D0C">
              <w:rPr>
                <w:noProof/>
                <w:webHidden/>
              </w:rPr>
              <w:tab/>
            </w:r>
            <w:r w:rsidR="00D50FDC">
              <w:rPr>
                <w:noProof/>
                <w:webHidden/>
              </w:rPr>
              <w:fldChar w:fldCharType="begin"/>
            </w:r>
            <w:r w:rsidR="00256D0C">
              <w:rPr>
                <w:noProof/>
                <w:webHidden/>
              </w:rPr>
              <w:instrText xml:space="preserve"> PAGEREF _Toc263671694 \h </w:instrText>
            </w:r>
            <w:r w:rsidR="00D50FDC">
              <w:rPr>
                <w:noProof/>
                <w:webHidden/>
              </w:rPr>
            </w:r>
            <w:r w:rsidR="00D50FDC">
              <w:rPr>
                <w:noProof/>
                <w:webHidden/>
              </w:rPr>
              <w:fldChar w:fldCharType="separate"/>
            </w:r>
            <w:r w:rsidR="0005759A">
              <w:rPr>
                <w:noProof/>
                <w:webHidden/>
              </w:rPr>
              <w:t>- 42 -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5" w:history="1">
            <w:r w:rsidR="00256D0C" w:rsidRPr="00D03A38">
              <w:rPr>
                <w:rStyle w:val="Hyperlink"/>
                <w:noProof/>
              </w:rPr>
              <w:t>Figure 41: Incremental Vehicle Market for Copper by Vehicle Type (kt Cu)</w:t>
            </w:r>
            <w:r w:rsidR="00256D0C">
              <w:rPr>
                <w:noProof/>
                <w:webHidden/>
              </w:rPr>
              <w:tab/>
            </w:r>
            <w:r w:rsidR="00D50FDC">
              <w:rPr>
                <w:noProof/>
                <w:webHidden/>
              </w:rPr>
              <w:fldChar w:fldCharType="begin"/>
            </w:r>
            <w:r w:rsidR="00256D0C">
              <w:rPr>
                <w:noProof/>
                <w:webHidden/>
              </w:rPr>
              <w:instrText xml:space="preserve"> PAGEREF _Toc263671695 \h </w:instrText>
            </w:r>
            <w:r w:rsidR="00D50FDC">
              <w:rPr>
                <w:noProof/>
                <w:webHidden/>
              </w:rPr>
            </w:r>
            <w:r w:rsidR="00D50FDC">
              <w:rPr>
                <w:noProof/>
                <w:webHidden/>
              </w:rPr>
              <w:fldChar w:fldCharType="separate"/>
            </w:r>
            <w:r w:rsidR="0005759A">
              <w:rPr>
                <w:noProof/>
                <w:webHidden/>
              </w:rPr>
              <w:t>- 43 -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6" w:history="1">
            <w:r w:rsidR="00256D0C" w:rsidRPr="00D03A38">
              <w:rPr>
                <w:rStyle w:val="Hyperlink"/>
                <w:noProof/>
              </w:rPr>
              <w:t>Figure 42: Incremental Vehicle Market for Copper by Component Group (kt Cu)</w:t>
            </w:r>
            <w:r w:rsidR="00256D0C">
              <w:rPr>
                <w:noProof/>
                <w:webHidden/>
              </w:rPr>
              <w:tab/>
            </w:r>
            <w:r w:rsidR="00D50FDC">
              <w:rPr>
                <w:noProof/>
                <w:webHidden/>
              </w:rPr>
              <w:fldChar w:fldCharType="begin"/>
            </w:r>
            <w:r w:rsidR="00256D0C">
              <w:rPr>
                <w:noProof/>
                <w:webHidden/>
              </w:rPr>
              <w:instrText xml:space="preserve"> PAGEREF _Toc263671696 \h </w:instrText>
            </w:r>
            <w:r w:rsidR="00D50FDC">
              <w:rPr>
                <w:noProof/>
                <w:webHidden/>
              </w:rPr>
            </w:r>
            <w:r w:rsidR="00D50FDC">
              <w:rPr>
                <w:noProof/>
                <w:webHidden/>
              </w:rPr>
              <w:fldChar w:fldCharType="separate"/>
            </w:r>
            <w:r w:rsidR="0005759A">
              <w:rPr>
                <w:noProof/>
                <w:webHidden/>
              </w:rPr>
              <w:t>- 43 -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7" w:history="1">
            <w:r w:rsidR="00256D0C" w:rsidRPr="00D03A38">
              <w:rPr>
                <w:rStyle w:val="Hyperlink"/>
                <w:noProof/>
              </w:rPr>
              <w:t>Figure 43: Incremental Vehicle Market for Cu by Fabricated Product (kt of Cu)</w:t>
            </w:r>
            <w:r w:rsidR="00256D0C">
              <w:rPr>
                <w:noProof/>
                <w:webHidden/>
              </w:rPr>
              <w:tab/>
            </w:r>
            <w:r w:rsidR="00D50FDC">
              <w:rPr>
                <w:noProof/>
                <w:webHidden/>
              </w:rPr>
              <w:fldChar w:fldCharType="begin"/>
            </w:r>
            <w:r w:rsidR="00256D0C">
              <w:rPr>
                <w:noProof/>
                <w:webHidden/>
              </w:rPr>
              <w:instrText xml:space="preserve"> PAGEREF _Toc263671697 \h </w:instrText>
            </w:r>
            <w:r w:rsidR="00D50FDC">
              <w:rPr>
                <w:noProof/>
                <w:webHidden/>
              </w:rPr>
            </w:r>
            <w:r w:rsidR="00D50FDC">
              <w:rPr>
                <w:noProof/>
                <w:webHidden/>
              </w:rPr>
              <w:fldChar w:fldCharType="separate"/>
            </w:r>
            <w:r w:rsidR="0005759A">
              <w:rPr>
                <w:noProof/>
                <w:webHidden/>
              </w:rPr>
              <w:t>- 44 -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8" w:history="1">
            <w:r w:rsidR="00256D0C" w:rsidRPr="00D03A38">
              <w:rPr>
                <w:rStyle w:val="Hyperlink"/>
                <w:noProof/>
              </w:rPr>
              <w:t>Figure 44: Growth in Total Electricity Generating Capacity (GW ‘000)</w:t>
            </w:r>
            <w:r w:rsidR="00256D0C">
              <w:rPr>
                <w:noProof/>
                <w:webHidden/>
              </w:rPr>
              <w:tab/>
            </w:r>
            <w:r w:rsidR="00D50FDC">
              <w:rPr>
                <w:noProof/>
                <w:webHidden/>
              </w:rPr>
              <w:fldChar w:fldCharType="begin"/>
            </w:r>
            <w:r w:rsidR="00256D0C">
              <w:rPr>
                <w:noProof/>
                <w:webHidden/>
              </w:rPr>
              <w:instrText xml:space="preserve"> PAGEREF _Toc263671698 \h </w:instrText>
            </w:r>
            <w:r w:rsidR="00D50FDC">
              <w:rPr>
                <w:noProof/>
                <w:webHidden/>
              </w:rPr>
            </w:r>
            <w:r w:rsidR="00D50FDC">
              <w:rPr>
                <w:noProof/>
                <w:webHidden/>
              </w:rPr>
              <w:fldChar w:fldCharType="separate"/>
            </w:r>
            <w:r w:rsidR="0005759A">
              <w:rPr>
                <w:noProof/>
                <w:webHidden/>
              </w:rPr>
              <w:t>- 46 -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699" w:history="1">
            <w:r w:rsidR="00256D0C" w:rsidRPr="00D03A38">
              <w:rPr>
                <w:rStyle w:val="Hyperlink"/>
                <w:noProof/>
              </w:rPr>
              <w:t>Figure 45: Renewable Energy Electricity Generating Capacity (GW ‘000)</w:t>
            </w:r>
            <w:r w:rsidR="00256D0C">
              <w:rPr>
                <w:noProof/>
                <w:webHidden/>
              </w:rPr>
              <w:tab/>
            </w:r>
            <w:r w:rsidR="00D50FDC">
              <w:rPr>
                <w:noProof/>
                <w:webHidden/>
              </w:rPr>
              <w:fldChar w:fldCharType="begin"/>
            </w:r>
            <w:r w:rsidR="00256D0C">
              <w:rPr>
                <w:noProof/>
                <w:webHidden/>
              </w:rPr>
              <w:instrText xml:space="preserve"> PAGEREF _Toc263671699 \h </w:instrText>
            </w:r>
            <w:r w:rsidR="00D50FDC">
              <w:rPr>
                <w:noProof/>
                <w:webHidden/>
              </w:rPr>
            </w:r>
            <w:r w:rsidR="00D50FDC">
              <w:rPr>
                <w:noProof/>
                <w:webHidden/>
              </w:rPr>
              <w:fldChar w:fldCharType="separate"/>
            </w:r>
            <w:r w:rsidR="0005759A">
              <w:rPr>
                <w:noProof/>
                <w:webHidden/>
              </w:rPr>
              <w:t>- 46 -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0" w:history="1">
            <w:r w:rsidR="00256D0C" w:rsidRPr="00D03A38">
              <w:rPr>
                <w:rStyle w:val="Hyperlink"/>
                <w:noProof/>
              </w:rPr>
              <w:t>Figure 46: Growth in the Share of Renewables in Electricity Generating Capacity (GW ‘000)</w:t>
            </w:r>
            <w:r w:rsidR="00256D0C">
              <w:rPr>
                <w:noProof/>
                <w:webHidden/>
              </w:rPr>
              <w:tab/>
            </w:r>
            <w:r w:rsidR="00D50FDC">
              <w:rPr>
                <w:noProof/>
                <w:webHidden/>
              </w:rPr>
              <w:fldChar w:fldCharType="begin"/>
            </w:r>
            <w:r w:rsidR="00256D0C">
              <w:rPr>
                <w:noProof/>
                <w:webHidden/>
              </w:rPr>
              <w:instrText xml:space="preserve"> PAGEREF _Toc263671700 \h </w:instrText>
            </w:r>
            <w:r w:rsidR="00D50FDC">
              <w:rPr>
                <w:noProof/>
                <w:webHidden/>
              </w:rPr>
            </w:r>
            <w:r w:rsidR="00D50FDC">
              <w:rPr>
                <w:noProof/>
                <w:webHidden/>
              </w:rPr>
              <w:fldChar w:fldCharType="separate"/>
            </w:r>
            <w:r w:rsidR="0005759A">
              <w:rPr>
                <w:noProof/>
                <w:webHidden/>
              </w:rPr>
              <w:t>- 46 -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1" w:history="1">
            <w:r w:rsidR="00256D0C" w:rsidRPr="00D03A38">
              <w:rPr>
                <w:rStyle w:val="Hyperlink"/>
                <w:noProof/>
              </w:rPr>
              <w:t>Figure 47: Renewables-Based Electricity Generating Capacity by Type (GW)</w:t>
            </w:r>
            <w:r w:rsidR="00256D0C">
              <w:rPr>
                <w:noProof/>
                <w:webHidden/>
              </w:rPr>
              <w:tab/>
            </w:r>
            <w:r w:rsidR="00D50FDC">
              <w:rPr>
                <w:noProof/>
                <w:webHidden/>
              </w:rPr>
              <w:fldChar w:fldCharType="begin"/>
            </w:r>
            <w:r w:rsidR="00256D0C">
              <w:rPr>
                <w:noProof/>
                <w:webHidden/>
              </w:rPr>
              <w:instrText xml:space="preserve"> PAGEREF _Toc263671701 \h </w:instrText>
            </w:r>
            <w:r w:rsidR="00D50FDC">
              <w:rPr>
                <w:noProof/>
                <w:webHidden/>
              </w:rPr>
            </w:r>
            <w:r w:rsidR="00D50FDC">
              <w:rPr>
                <w:noProof/>
                <w:webHidden/>
              </w:rPr>
              <w:fldChar w:fldCharType="separate"/>
            </w:r>
            <w:r w:rsidR="0005759A">
              <w:rPr>
                <w:noProof/>
                <w:webHidden/>
              </w:rPr>
              <w:t>- 48 -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2" w:history="1">
            <w:r w:rsidR="00256D0C" w:rsidRPr="00D03A38">
              <w:rPr>
                <w:rStyle w:val="Hyperlink"/>
                <w:noProof/>
              </w:rPr>
              <w:t>Figure 48: Share of the Alternative Renewable Energy Technologies</w:t>
            </w:r>
            <w:r w:rsidR="00256D0C">
              <w:rPr>
                <w:noProof/>
                <w:webHidden/>
              </w:rPr>
              <w:tab/>
            </w:r>
            <w:r w:rsidR="00D50FDC">
              <w:rPr>
                <w:noProof/>
                <w:webHidden/>
              </w:rPr>
              <w:fldChar w:fldCharType="begin"/>
            </w:r>
            <w:r w:rsidR="00256D0C">
              <w:rPr>
                <w:noProof/>
                <w:webHidden/>
              </w:rPr>
              <w:instrText xml:space="preserve"> PAGEREF _Toc263671702 \h </w:instrText>
            </w:r>
            <w:r w:rsidR="00D50FDC">
              <w:rPr>
                <w:noProof/>
                <w:webHidden/>
              </w:rPr>
            </w:r>
            <w:r w:rsidR="00D50FDC">
              <w:rPr>
                <w:noProof/>
                <w:webHidden/>
              </w:rPr>
              <w:fldChar w:fldCharType="separate"/>
            </w:r>
            <w:r w:rsidR="0005759A">
              <w:rPr>
                <w:noProof/>
                <w:webHidden/>
              </w:rPr>
              <w:t>- 48 -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3" w:history="1">
            <w:r w:rsidR="00256D0C" w:rsidRPr="00D03A38">
              <w:rPr>
                <w:rStyle w:val="Hyperlink"/>
                <w:noProof/>
              </w:rPr>
              <w:t>Figure 49: Europe’s Share of Renewable Electricity Generating Capacity</w:t>
            </w:r>
            <w:r w:rsidR="00256D0C">
              <w:rPr>
                <w:noProof/>
                <w:webHidden/>
              </w:rPr>
              <w:tab/>
            </w:r>
            <w:r w:rsidR="00D50FDC">
              <w:rPr>
                <w:noProof/>
                <w:webHidden/>
              </w:rPr>
              <w:fldChar w:fldCharType="begin"/>
            </w:r>
            <w:r w:rsidR="00256D0C">
              <w:rPr>
                <w:noProof/>
                <w:webHidden/>
              </w:rPr>
              <w:instrText xml:space="preserve"> PAGEREF _Toc263671703 \h </w:instrText>
            </w:r>
            <w:r w:rsidR="00D50FDC">
              <w:rPr>
                <w:noProof/>
                <w:webHidden/>
              </w:rPr>
            </w:r>
            <w:r w:rsidR="00D50FDC">
              <w:rPr>
                <w:noProof/>
                <w:webHidden/>
              </w:rPr>
              <w:fldChar w:fldCharType="separate"/>
            </w:r>
            <w:r w:rsidR="0005759A">
              <w:rPr>
                <w:noProof/>
                <w:webHidden/>
              </w:rPr>
              <w:t>- 48 -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4" w:history="1">
            <w:r w:rsidR="00256D0C" w:rsidRPr="00D03A38">
              <w:rPr>
                <w:rStyle w:val="Hyperlink"/>
                <w:noProof/>
              </w:rPr>
              <w:t>Figure 50: Outline Scheme of Wind Generation Linked to the Grid</w:t>
            </w:r>
            <w:r w:rsidR="00256D0C">
              <w:rPr>
                <w:noProof/>
                <w:webHidden/>
              </w:rPr>
              <w:tab/>
            </w:r>
            <w:r w:rsidR="00D50FDC">
              <w:rPr>
                <w:noProof/>
                <w:webHidden/>
              </w:rPr>
              <w:fldChar w:fldCharType="begin"/>
            </w:r>
            <w:r w:rsidR="00256D0C">
              <w:rPr>
                <w:noProof/>
                <w:webHidden/>
              </w:rPr>
              <w:instrText xml:space="preserve"> PAGEREF _Toc263671704 \h </w:instrText>
            </w:r>
            <w:r w:rsidR="00D50FDC">
              <w:rPr>
                <w:noProof/>
                <w:webHidden/>
              </w:rPr>
            </w:r>
            <w:r w:rsidR="00D50FDC">
              <w:rPr>
                <w:noProof/>
                <w:webHidden/>
              </w:rPr>
              <w:fldChar w:fldCharType="separate"/>
            </w:r>
            <w:r w:rsidR="0005759A">
              <w:rPr>
                <w:noProof/>
                <w:webHidden/>
              </w:rPr>
              <w:t>- 50 -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5" w:history="1">
            <w:r w:rsidR="00256D0C" w:rsidRPr="00D03A38">
              <w:rPr>
                <w:rStyle w:val="Hyperlink"/>
                <w:noProof/>
              </w:rPr>
              <w:t>Figure 51: The Main Components of a Wind Turbine Generator</w:t>
            </w:r>
            <w:r w:rsidR="00256D0C">
              <w:rPr>
                <w:noProof/>
                <w:webHidden/>
              </w:rPr>
              <w:tab/>
            </w:r>
            <w:r w:rsidR="00D50FDC">
              <w:rPr>
                <w:noProof/>
                <w:webHidden/>
              </w:rPr>
              <w:fldChar w:fldCharType="begin"/>
            </w:r>
            <w:r w:rsidR="00256D0C">
              <w:rPr>
                <w:noProof/>
                <w:webHidden/>
              </w:rPr>
              <w:instrText xml:space="preserve"> PAGEREF _Toc263671705 \h </w:instrText>
            </w:r>
            <w:r w:rsidR="00D50FDC">
              <w:rPr>
                <w:noProof/>
                <w:webHidden/>
              </w:rPr>
            </w:r>
            <w:r w:rsidR="00D50FDC">
              <w:rPr>
                <w:noProof/>
                <w:webHidden/>
              </w:rPr>
              <w:fldChar w:fldCharType="separate"/>
            </w:r>
            <w:r w:rsidR="0005759A">
              <w:rPr>
                <w:noProof/>
                <w:webHidden/>
              </w:rPr>
              <w:t>- 50 -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6" w:history="1">
            <w:r w:rsidR="00256D0C" w:rsidRPr="00D03A38">
              <w:rPr>
                <w:rStyle w:val="Hyperlink"/>
                <w:noProof/>
              </w:rPr>
              <w:t>Figure 52: The Increasing Size of Wind Turbines</w:t>
            </w:r>
            <w:r w:rsidR="00256D0C">
              <w:rPr>
                <w:noProof/>
                <w:webHidden/>
              </w:rPr>
              <w:tab/>
            </w:r>
            <w:r w:rsidR="00D50FDC">
              <w:rPr>
                <w:noProof/>
                <w:webHidden/>
              </w:rPr>
              <w:fldChar w:fldCharType="begin"/>
            </w:r>
            <w:r w:rsidR="00256D0C">
              <w:rPr>
                <w:noProof/>
                <w:webHidden/>
              </w:rPr>
              <w:instrText xml:space="preserve"> PAGEREF _Toc263671706 \h </w:instrText>
            </w:r>
            <w:r w:rsidR="00D50FDC">
              <w:rPr>
                <w:noProof/>
                <w:webHidden/>
              </w:rPr>
            </w:r>
            <w:r w:rsidR="00D50FDC">
              <w:rPr>
                <w:noProof/>
                <w:webHidden/>
              </w:rPr>
              <w:fldChar w:fldCharType="separate"/>
            </w:r>
            <w:r w:rsidR="0005759A">
              <w:rPr>
                <w:noProof/>
                <w:webHidden/>
              </w:rPr>
              <w:t>- 51 -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7" w:history="1">
            <w:r w:rsidR="00256D0C" w:rsidRPr="00D03A38">
              <w:rPr>
                <w:rStyle w:val="Hyperlink"/>
                <w:noProof/>
              </w:rPr>
              <w:t>Figure 53: Cables Employed in an Onshore Wind Power System</w:t>
            </w:r>
            <w:r w:rsidR="00256D0C">
              <w:rPr>
                <w:noProof/>
                <w:webHidden/>
              </w:rPr>
              <w:tab/>
            </w:r>
            <w:r w:rsidR="00D50FDC">
              <w:rPr>
                <w:noProof/>
                <w:webHidden/>
              </w:rPr>
              <w:fldChar w:fldCharType="begin"/>
            </w:r>
            <w:r w:rsidR="00256D0C">
              <w:rPr>
                <w:noProof/>
                <w:webHidden/>
              </w:rPr>
              <w:instrText xml:space="preserve"> PAGEREF _Toc263671707 \h </w:instrText>
            </w:r>
            <w:r w:rsidR="00D50FDC">
              <w:rPr>
                <w:noProof/>
                <w:webHidden/>
              </w:rPr>
            </w:r>
            <w:r w:rsidR="00D50FDC">
              <w:rPr>
                <w:noProof/>
                <w:webHidden/>
              </w:rPr>
              <w:fldChar w:fldCharType="separate"/>
            </w:r>
            <w:r w:rsidR="0005759A">
              <w:rPr>
                <w:noProof/>
                <w:webHidden/>
              </w:rPr>
              <w:t>- 52 -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8" w:history="1">
            <w:r w:rsidR="00256D0C" w:rsidRPr="00D03A38">
              <w:rPr>
                <w:rStyle w:val="Hyperlink"/>
                <w:noProof/>
              </w:rPr>
              <w:t>Figure 54: Global Wind Power Capacity 1996-2009</w:t>
            </w:r>
            <w:r w:rsidR="00256D0C">
              <w:rPr>
                <w:noProof/>
                <w:webHidden/>
              </w:rPr>
              <w:tab/>
            </w:r>
            <w:r w:rsidR="00D50FDC">
              <w:rPr>
                <w:noProof/>
                <w:webHidden/>
              </w:rPr>
              <w:fldChar w:fldCharType="begin"/>
            </w:r>
            <w:r w:rsidR="00256D0C">
              <w:rPr>
                <w:noProof/>
                <w:webHidden/>
              </w:rPr>
              <w:instrText xml:space="preserve"> PAGEREF _Toc263671708 \h </w:instrText>
            </w:r>
            <w:r w:rsidR="00D50FDC">
              <w:rPr>
                <w:noProof/>
                <w:webHidden/>
              </w:rPr>
            </w:r>
            <w:r w:rsidR="00D50FDC">
              <w:rPr>
                <w:noProof/>
                <w:webHidden/>
              </w:rPr>
              <w:fldChar w:fldCharType="separate"/>
            </w:r>
            <w:r w:rsidR="0005759A">
              <w:rPr>
                <w:noProof/>
                <w:webHidden/>
              </w:rPr>
              <w:t>- 53 -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09" w:history="1">
            <w:r w:rsidR="00256D0C" w:rsidRPr="00D03A38">
              <w:rPr>
                <w:rStyle w:val="Hyperlink"/>
                <w:noProof/>
              </w:rPr>
              <w:t>Figure 55: Annual Installation of Wind Power Capacity 1996-2009</w:t>
            </w:r>
            <w:r w:rsidR="00256D0C">
              <w:rPr>
                <w:noProof/>
                <w:webHidden/>
              </w:rPr>
              <w:tab/>
            </w:r>
            <w:r w:rsidR="00D50FDC">
              <w:rPr>
                <w:noProof/>
                <w:webHidden/>
              </w:rPr>
              <w:fldChar w:fldCharType="begin"/>
            </w:r>
            <w:r w:rsidR="00256D0C">
              <w:rPr>
                <w:noProof/>
                <w:webHidden/>
              </w:rPr>
              <w:instrText xml:space="preserve"> PAGEREF _Toc263671709 \h </w:instrText>
            </w:r>
            <w:r w:rsidR="00D50FDC">
              <w:rPr>
                <w:noProof/>
                <w:webHidden/>
              </w:rPr>
            </w:r>
            <w:r w:rsidR="00D50FDC">
              <w:rPr>
                <w:noProof/>
                <w:webHidden/>
              </w:rPr>
              <w:fldChar w:fldCharType="separate"/>
            </w:r>
            <w:r w:rsidR="0005759A">
              <w:rPr>
                <w:noProof/>
                <w:webHidden/>
              </w:rPr>
              <w:t>- 53 -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0" w:history="1">
            <w:r w:rsidR="00256D0C" w:rsidRPr="00D03A38">
              <w:rPr>
                <w:rStyle w:val="Hyperlink"/>
                <w:noProof/>
              </w:rPr>
              <w:t>Figure 56: Forecast Wind Generating Capacity in Place (GW)</w:t>
            </w:r>
            <w:r w:rsidR="00256D0C">
              <w:rPr>
                <w:noProof/>
                <w:webHidden/>
              </w:rPr>
              <w:tab/>
            </w:r>
            <w:r w:rsidR="00D50FDC">
              <w:rPr>
                <w:noProof/>
                <w:webHidden/>
              </w:rPr>
              <w:fldChar w:fldCharType="begin"/>
            </w:r>
            <w:r w:rsidR="00256D0C">
              <w:rPr>
                <w:noProof/>
                <w:webHidden/>
              </w:rPr>
              <w:instrText xml:space="preserve"> PAGEREF _Toc263671710 \h </w:instrText>
            </w:r>
            <w:r w:rsidR="00D50FDC">
              <w:rPr>
                <w:noProof/>
                <w:webHidden/>
              </w:rPr>
            </w:r>
            <w:r w:rsidR="00D50FDC">
              <w:rPr>
                <w:noProof/>
                <w:webHidden/>
              </w:rPr>
              <w:fldChar w:fldCharType="separate"/>
            </w:r>
            <w:r w:rsidR="0005759A">
              <w:rPr>
                <w:noProof/>
                <w:webHidden/>
              </w:rPr>
              <w:t>- 54 -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1" w:history="1">
            <w:r w:rsidR="00256D0C" w:rsidRPr="00D03A38">
              <w:rPr>
                <w:rStyle w:val="Hyperlink"/>
                <w:noProof/>
              </w:rPr>
              <w:t>Figure 57: Forecast Installation of Wind Generating Capacity (GW)</w:t>
            </w:r>
            <w:r w:rsidR="00256D0C">
              <w:rPr>
                <w:noProof/>
                <w:webHidden/>
              </w:rPr>
              <w:tab/>
            </w:r>
            <w:r w:rsidR="00D50FDC">
              <w:rPr>
                <w:noProof/>
                <w:webHidden/>
              </w:rPr>
              <w:fldChar w:fldCharType="begin"/>
            </w:r>
            <w:r w:rsidR="00256D0C">
              <w:rPr>
                <w:noProof/>
                <w:webHidden/>
              </w:rPr>
              <w:instrText xml:space="preserve"> PAGEREF _Toc263671711 \h </w:instrText>
            </w:r>
            <w:r w:rsidR="00D50FDC">
              <w:rPr>
                <w:noProof/>
                <w:webHidden/>
              </w:rPr>
            </w:r>
            <w:r w:rsidR="00D50FDC">
              <w:rPr>
                <w:noProof/>
                <w:webHidden/>
              </w:rPr>
              <w:fldChar w:fldCharType="separate"/>
            </w:r>
            <w:r w:rsidR="0005759A">
              <w:rPr>
                <w:noProof/>
                <w:webHidden/>
              </w:rPr>
              <w:t>- 54 -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2" w:history="1">
            <w:r w:rsidR="00256D0C" w:rsidRPr="00D03A38">
              <w:rPr>
                <w:rStyle w:val="Hyperlink"/>
                <w:noProof/>
              </w:rPr>
              <w:t>Figure 58: Wind Power Market for Copper by Component Sector (kt Cu)</w:t>
            </w:r>
            <w:r w:rsidR="00256D0C">
              <w:rPr>
                <w:noProof/>
                <w:webHidden/>
              </w:rPr>
              <w:tab/>
            </w:r>
            <w:r w:rsidR="00D50FDC">
              <w:rPr>
                <w:noProof/>
                <w:webHidden/>
              </w:rPr>
              <w:fldChar w:fldCharType="begin"/>
            </w:r>
            <w:r w:rsidR="00256D0C">
              <w:rPr>
                <w:noProof/>
                <w:webHidden/>
              </w:rPr>
              <w:instrText xml:space="preserve"> PAGEREF _Toc263671712 \h </w:instrText>
            </w:r>
            <w:r w:rsidR="00D50FDC">
              <w:rPr>
                <w:noProof/>
                <w:webHidden/>
              </w:rPr>
            </w:r>
            <w:r w:rsidR="00D50FDC">
              <w:rPr>
                <w:noProof/>
                <w:webHidden/>
              </w:rPr>
              <w:fldChar w:fldCharType="separate"/>
            </w:r>
            <w:r w:rsidR="0005759A">
              <w:rPr>
                <w:noProof/>
                <w:webHidden/>
              </w:rPr>
              <w:t>- 56 -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3" w:history="1">
            <w:r w:rsidR="00256D0C" w:rsidRPr="00D03A38">
              <w:rPr>
                <w:rStyle w:val="Hyperlink"/>
                <w:noProof/>
              </w:rPr>
              <w:t>Figure 59: Wind Power Market for Copper by Fabricated Product (kt Cu)</w:t>
            </w:r>
            <w:r w:rsidR="00256D0C">
              <w:rPr>
                <w:noProof/>
                <w:webHidden/>
              </w:rPr>
              <w:tab/>
            </w:r>
            <w:r w:rsidR="00D50FDC">
              <w:rPr>
                <w:noProof/>
                <w:webHidden/>
              </w:rPr>
              <w:fldChar w:fldCharType="begin"/>
            </w:r>
            <w:r w:rsidR="00256D0C">
              <w:rPr>
                <w:noProof/>
                <w:webHidden/>
              </w:rPr>
              <w:instrText xml:space="preserve"> PAGEREF _Toc263671713 \h </w:instrText>
            </w:r>
            <w:r w:rsidR="00D50FDC">
              <w:rPr>
                <w:noProof/>
                <w:webHidden/>
              </w:rPr>
            </w:r>
            <w:r w:rsidR="00D50FDC">
              <w:rPr>
                <w:noProof/>
                <w:webHidden/>
              </w:rPr>
              <w:fldChar w:fldCharType="separate"/>
            </w:r>
            <w:r w:rsidR="0005759A">
              <w:rPr>
                <w:noProof/>
                <w:webHidden/>
              </w:rPr>
              <w:t>- 56 -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4" w:history="1">
            <w:r w:rsidR="00256D0C" w:rsidRPr="00D03A38">
              <w:rPr>
                <w:rStyle w:val="Hyperlink"/>
                <w:noProof/>
              </w:rPr>
              <w:t>Figure 60: Layout of a Typical Solar PV Park</w:t>
            </w:r>
            <w:r w:rsidR="00256D0C">
              <w:rPr>
                <w:noProof/>
                <w:webHidden/>
              </w:rPr>
              <w:tab/>
            </w:r>
            <w:r w:rsidR="00D50FDC">
              <w:rPr>
                <w:noProof/>
                <w:webHidden/>
              </w:rPr>
              <w:fldChar w:fldCharType="begin"/>
            </w:r>
            <w:r w:rsidR="00256D0C">
              <w:rPr>
                <w:noProof/>
                <w:webHidden/>
              </w:rPr>
              <w:instrText xml:space="preserve"> PAGEREF _Toc263671714 \h </w:instrText>
            </w:r>
            <w:r w:rsidR="00D50FDC">
              <w:rPr>
                <w:noProof/>
                <w:webHidden/>
              </w:rPr>
            </w:r>
            <w:r w:rsidR="00D50FDC">
              <w:rPr>
                <w:noProof/>
                <w:webHidden/>
              </w:rPr>
              <w:fldChar w:fldCharType="separate"/>
            </w:r>
            <w:r w:rsidR="0005759A">
              <w:rPr>
                <w:noProof/>
                <w:webHidden/>
              </w:rPr>
              <w:t>- 58 -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5" w:history="1">
            <w:r w:rsidR="00256D0C" w:rsidRPr="00D03A38">
              <w:rPr>
                <w:rStyle w:val="Hyperlink"/>
                <w:noProof/>
              </w:rPr>
              <w:t>Figure 61: CIGS Cells</w:t>
            </w:r>
            <w:r w:rsidR="00256D0C">
              <w:rPr>
                <w:noProof/>
                <w:webHidden/>
              </w:rPr>
              <w:tab/>
            </w:r>
            <w:r w:rsidR="00D50FDC">
              <w:rPr>
                <w:noProof/>
                <w:webHidden/>
              </w:rPr>
              <w:fldChar w:fldCharType="begin"/>
            </w:r>
            <w:r w:rsidR="00256D0C">
              <w:rPr>
                <w:noProof/>
                <w:webHidden/>
              </w:rPr>
              <w:instrText xml:space="preserve"> PAGEREF _Toc263671715 \h </w:instrText>
            </w:r>
            <w:r w:rsidR="00D50FDC">
              <w:rPr>
                <w:noProof/>
                <w:webHidden/>
              </w:rPr>
            </w:r>
            <w:r w:rsidR="00D50FDC">
              <w:rPr>
                <w:noProof/>
                <w:webHidden/>
              </w:rPr>
              <w:fldChar w:fldCharType="separate"/>
            </w:r>
            <w:r w:rsidR="0005759A">
              <w:rPr>
                <w:noProof/>
                <w:webHidden/>
              </w:rPr>
              <w:t>- 59 -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6" w:history="1">
            <w:r w:rsidR="00256D0C" w:rsidRPr="00D03A38">
              <w:rPr>
                <w:rStyle w:val="Hyperlink"/>
                <w:noProof/>
              </w:rPr>
              <w:t>Figure 62: Growth in Installed Solar PV Capacity 2000-2009</w:t>
            </w:r>
            <w:r w:rsidR="00256D0C">
              <w:rPr>
                <w:noProof/>
                <w:webHidden/>
              </w:rPr>
              <w:tab/>
            </w:r>
            <w:r w:rsidR="00D50FDC">
              <w:rPr>
                <w:noProof/>
                <w:webHidden/>
              </w:rPr>
              <w:fldChar w:fldCharType="begin"/>
            </w:r>
            <w:r w:rsidR="00256D0C">
              <w:rPr>
                <w:noProof/>
                <w:webHidden/>
              </w:rPr>
              <w:instrText xml:space="preserve"> PAGEREF _Toc263671716 \h </w:instrText>
            </w:r>
            <w:r w:rsidR="00D50FDC">
              <w:rPr>
                <w:noProof/>
                <w:webHidden/>
              </w:rPr>
            </w:r>
            <w:r w:rsidR="00D50FDC">
              <w:rPr>
                <w:noProof/>
                <w:webHidden/>
              </w:rPr>
              <w:fldChar w:fldCharType="separate"/>
            </w:r>
            <w:r w:rsidR="0005759A">
              <w:rPr>
                <w:noProof/>
                <w:webHidden/>
              </w:rPr>
              <w:t>- 61 -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7" w:history="1">
            <w:r w:rsidR="00256D0C" w:rsidRPr="00D03A38">
              <w:rPr>
                <w:rStyle w:val="Hyperlink"/>
                <w:noProof/>
              </w:rPr>
              <w:t>Figure 63: World and European PV markets in 2009</w:t>
            </w:r>
            <w:r w:rsidR="00256D0C">
              <w:rPr>
                <w:noProof/>
                <w:webHidden/>
              </w:rPr>
              <w:tab/>
            </w:r>
            <w:r w:rsidR="00D50FDC">
              <w:rPr>
                <w:noProof/>
                <w:webHidden/>
              </w:rPr>
              <w:fldChar w:fldCharType="begin"/>
            </w:r>
            <w:r w:rsidR="00256D0C">
              <w:rPr>
                <w:noProof/>
                <w:webHidden/>
              </w:rPr>
              <w:instrText xml:space="preserve"> PAGEREF _Toc263671717 \h </w:instrText>
            </w:r>
            <w:r w:rsidR="00D50FDC">
              <w:rPr>
                <w:noProof/>
                <w:webHidden/>
              </w:rPr>
            </w:r>
            <w:r w:rsidR="00D50FDC">
              <w:rPr>
                <w:noProof/>
                <w:webHidden/>
              </w:rPr>
              <w:fldChar w:fldCharType="separate"/>
            </w:r>
            <w:r w:rsidR="0005759A">
              <w:rPr>
                <w:noProof/>
                <w:webHidden/>
              </w:rPr>
              <w:t>- 61 -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8" w:history="1">
            <w:r w:rsidR="00256D0C" w:rsidRPr="00D03A38">
              <w:rPr>
                <w:rStyle w:val="Hyperlink"/>
                <w:noProof/>
              </w:rPr>
              <w:t>Figure 64: Forecast Solar PV Generating Capacity in Place (GW)</w:t>
            </w:r>
            <w:r w:rsidR="00256D0C">
              <w:rPr>
                <w:noProof/>
                <w:webHidden/>
              </w:rPr>
              <w:tab/>
            </w:r>
            <w:r w:rsidR="00D50FDC">
              <w:rPr>
                <w:noProof/>
                <w:webHidden/>
              </w:rPr>
              <w:fldChar w:fldCharType="begin"/>
            </w:r>
            <w:r w:rsidR="00256D0C">
              <w:rPr>
                <w:noProof/>
                <w:webHidden/>
              </w:rPr>
              <w:instrText xml:space="preserve"> PAGEREF _Toc263671718 \h </w:instrText>
            </w:r>
            <w:r w:rsidR="00D50FDC">
              <w:rPr>
                <w:noProof/>
                <w:webHidden/>
              </w:rPr>
            </w:r>
            <w:r w:rsidR="00D50FDC">
              <w:rPr>
                <w:noProof/>
                <w:webHidden/>
              </w:rPr>
              <w:fldChar w:fldCharType="separate"/>
            </w:r>
            <w:r w:rsidR="0005759A">
              <w:rPr>
                <w:noProof/>
                <w:webHidden/>
              </w:rPr>
              <w:t>- 62 -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19" w:history="1">
            <w:r w:rsidR="00256D0C" w:rsidRPr="00D03A38">
              <w:rPr>
                <w:rStyle w:val="Hyperlink"/>
                <w:noProof/>
              </w:rPr>
              <w:t>Figure 65: Forecast Installation of Solar PV Generating Capacity (GW)</w:t>
            </w:r>
            <w:r w:rsidR="00256D0C">
              <w:rPr>
                <w:noProof/>
                <w:webHidden/>
              </w:rPr>
              <w:tab/>
            </w:r>
            <w:r w:rsidR="00D50FDC">
              <w:rPr>
                <w:noProof/>
                <w:webHidden/>
              </w:rPr>
              <w:fldChar w:fldCharType="begin"/>
            </w:r>
            <w:r w:rsidR="00256D0C">
              <w:rPr>
                <w:noProof/>
                <w:webHidden/>
              </w:rPr>
              <w:instrText xml:space="preserve"> PAGEREF _Toc263671719 \h </w:instrText>
            </w:r>
            <w:r w:rsidR="00D50FDC">
              <w:rPr>
                <w:noProof/>
                <w:webHidden/>
              </w:rPr>
            </w:r>
            <w:r w:rsidR="00D50FDC">
              <w:rPr>
                <w:noProof/>
                <w:webHidden/>
              </w:rPr>
              <w:fldChar w:fldCharType="separate"/>
            </w:r>
            <w:r w:rsidR="0005759A">
              <w:rPr>
                <w:noProof/>
                <w:webHidden/>
              </w:rPr>
              <w:t>- 62 -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0" w:history="1">
            <w:r w:rsidR="00256D0C" w:rsidRPr="00D03A38">
              <w:rPr>
                <w:rStyle w:val="Hyperlink"/>
                <w:noProof/>
              </w:rPr>
              <w:t>Figure 66: Solar PV Market for Copper by Component Sector (kt Cu)</w:t>
            </w:r>
            <w:r w:rsidR="00256D0C">
              <w:rPr>
                <w:noProof/>
                <w:webHidden/>
              </w:rPr>
              <w:tab/>
            </w:r>
            <w:r w:rsidR="00D50FDC">
              <w:rPr>
                <w:noProof/>
                <w:webHidden/>
              </w:rPr>
              <w:fldChar w:fldCharType="begin"/>
            </w:r>
            <w:r w:rsidR="00256D0C">
              <w:rPr>
                <w:noProof/>
                <w:webHidden/>
              </w:rPr>
              <w:instrText xml:space="preserve"> PAGEREF _Toc263671720 \h </w:instrText>
            </w:r>
            <w:r w:rsidR="00D50FDC">
              <w:rPr>
                <w:noProof/>
                <w:webHidden/>
              </w:rPr>
            </w:r>
            <w:r w:rsidR="00D50FDC">
              <w:rPr>
                <w:noProof/>
                <w:webHidden/>
              </w:rPr>
              <w:fldChar w:fldCharType="separate"/>
            </w:r>
            <w:r w:rsidR="0005759A">
              <w:rPr>
                <w:noProof/>
                <w:webHidden/>
              </w:rPr>
              <w:t>- 63 -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1" w:history="1">
            <w:r w:rsidR="00256D0C" w:rsidRPr="00D03A38">
              <w:rPr>
                <w:rStyle w:val="Hyperlink"/>
                <w:noProof/>
              </w:rPr>
              <w:t>Figure 67: Forecast Solar PV Market for Copper by Fabricated Product (kt Cu)</w:t>
            </w:r>
            <w:r w:rsidR="00256D0C">
              <w:rPr>
                <w:noProof/>
                <w:webHidden/>
              </w:rPr>
              <w:tab/>
            </w:r>
            <w:r w:rsidR="00D50FDC">
              <w:rPr>
                <w:noProof/>
                <w:webHidden/>
              </w:rPr>
              <w:fldChar w:fldCharType="begin"/>
            </w:r>
            <w:r w:rsidR="00256D0C">
              <w:rPr>
                <w:noProof/>
                <w:webHidden/>
              </w:rPr>
              <w:instrText xml:space="preserve"> PAGEREF _Toc263671721 \h </w:instrText>
            </w:r>
            <w:r w:rsidR="00D50FDC">
              <w:rPr>
                <w:noProof/>
                <w:webHidden/>
              </w:rPr>
            </w:r>
            <w:r w:rsidR="00D50FDC">
              <w:rPr>
                <w:noProof/>
                <w:webHidden/>
              </w:rPr>
              <w:fldChar w:fldCharType="separate"/>
            </w:r>
            <w:r w:rsidR="0005759A">
              <w:rPr>
                <w:noProof/>
                <w:webHidden/>
              </w:rPr>
              <w:t>- 63 -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2" w:history="1">
            <w:r w:rsidR="00256D0C" w:rsidRPr="00D03A38">
              <w:rPr>
                <w:rStyle w:val="Hyperlink"/>
                <w:noProof/>
              </w:rPr>
              <w:t>Figure 68: Alternative CSP Technologies</w:t>
            </w:r>
            <w:r w:rsidR="00256D0C">
              <w:rPr>
                <w:noProof/>
                <w:webHidden/>
              </w:rPr>
              <w:tab/>
            </w:r>
            <w:r w:rsidR="00D50FDC">
              <w:rPr>
                <w:noProof/>
                <w:webHidden/>
              </w:rPr>
              <w:fldChar w:fldCharType="begin"/>
            </w:r>
            <w:r w:rsidR="00256D0C">
              <w:rPr>
                <w:noProof/>
                <w:webHidden/>
              </w:rPr>
              <w:instrText xml:space="preserve"> PAGEREF _Toc263671722 \h </w:instrText>
            </w:r>
            <w:r w:rsidR="00D50FDC">
              <w:rPr>
                <w:noProof/>
                <w:webHidden/>
              </w:rPr>
            </w:r>
            <w:r w:rsidR="00D50FDC">
              <w:rPr>
                <w:noProof/>
                <w:webHidden/>
              </w:rPr>
              <w:fldChar w:fldCharType="separate"/>
            </w:r>
            <w:r w:rsidR="0005759A">
              <w:rPr>
                <w:noProof/>
                <w:webHidden/>
              </w:rPr>
              <w:t>- 65 -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3" w:history="1">
            <w:r w:rsidR="00256D0C" w:rsidRPr="00D03A38">
              <w:rPr>
                <w:rStyle w:val="Hyperlink"/>
                <w:noProof/>
              </w:rPr>
              <w:t>Figure 69: Installed CSP Electricity Generating Capacity in 2009</w:t>
            </w:r>
            <w:r w:rsidR="00256D0C">
              <w:rPr>
                <w:noProof/>
                <w:webHidden/>
              </w:rPr>
              <w:tab/>
            </w:r>
            <w:r w:rsidR="00D50FDC">
              <w:rPr>
                <w:noProof/>
                <w:webHidden/>
              </w:rPr>
              <w:fldChar w:fldCharType="begin"/>
            </w:r>
            <w:r w:rsidR="00256D0C">
              <w:rPr>
                <w:noProof/>
                <w:webHidden/>
              </w:rPr>
              <w:instrText xml:space="preserve"> PAGEREF _Toc263671723 \h </w:instrText>
            </w:r>
            <w:r w:rsidR="00D50FDC">
              <w:rPr>
                <w:noProof/>
                <w:webHidden/>
              </w:rPr>
            </w:r>
            <w:r w:rsidR="00D50FDC">
              <w:rPr>
                <w:noProof/>
                <w:webHidden/>
              </w:rPr>
              <w:fldChar w:fldCharType="separate"/>
            </w:r>
            <w:r w:rsidR="0005759A">
              <w:rPr>
                <w:noProof/>
                <w:webHidden/>
              </w:rPr>
              <w:t>- 66 -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4" w:history="1">
            <w:r w:rsidR="00256D0C" w:rsidRPr="00D03A38">
              <w:rPr>
                <w:rStyle w:val="Hyperlink"/>
                <w:noProof/>
              </w:rPr>
              <w:t>Figure 70: The Concentrating Solar Power Market</w:t>
            </w:r>
            <w:r w:rsidR="00256D0C">
              <w:rPr>
                <w:noProof/>
                <w:webHidden/>
              </w:rPr>
              <w:tab/>
            </w:r>
            <w:r w:rsidR="00D50FDC">
              <w:rPr>
                <w:noProof/>
                <w:webHidden/>
              </w:rPr>
              <w:fldChar w:fldCharType="begin"/>
            </w:r>
            <w:r w:rsidR="00256D0C">
              <w:rPr>
                <w:noProof/>
                <w:webHidden/>
              </w:rPr>
              <w:instrText xml:space="preserve"> PAGEREF _Toc263671724 \h </w:instrText>
            </w:r>
            <w:r w:rsidR="00D50FDC">
              <w:rPr>
                <w:noProof/>
                <w:webHidden/>
              </w:rPr>
            </w:r>
            <w:r w:rsidR="00D50FDC">
              <w:rPr>
                <w:noProof/>
                <w:webHidden/>
              </w:rPr>
              <w:fldChar w:fldCharType="separate"/>
            </w:r>
            <w:r w:rsidR="0005759A">
              <w:rPr>
                <w:noProof/>
                <w:webHidden/>
              </w:rPr>
              <w:t>- 67 -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5" w:history="1">
            <w:r w:rsidR="00256D0C" w:rsidRPr="00D03A38">
              <w:rPr>
                <w:rStyle w:val="Hyperlink"/>
                <w:noProof/>
              </w:rPr>
              <w:t>Figure 71: Oscillating Water Column Generator</w:t>
            </w:r>
            <w:r w:rsidR="00256D0C">
              <w:rPr>
                <w:noProof/>
                <w:webHidden/>
              </w:rPr>
              <w:tab/>
            </w:r>
            <w:r w:rsidR="00D50FDC">
              <w:rPr>
                <w:noProof/>
                <w:webHidden/>
              </w:rPr>
              <w:fldChar w:fldCharType="begin"/>
            </w:r>
            <w:r w:rsidR="00256D0C">
              <w:rPr>
                <w:noProof/>
                <w:webHidden/>
              </w:rPr>
              <w:instrText xml:space="preserve"> PAGEREF _Toc263671725 \h </w:instrText>
            </w:r>
            <w:r w:rsidR="00D50FDC">
              <w:rPr>
                <w:noProof/>
                <w:webHidden/>
              </w:rPr>
            </w:r>
            <w:r w:rsidR="00D50FDC">
              <w:rPr>
                <w:noProof/>
                <w:webHidden/>
              </w:rPr>
              <w:fldChar w:fldCharType="separate"/>
            </w:r>
            <w:r w:rsidR="0005759A">
              <w:rPr>
                <w:noProof/>
                <w:webHidden/>
              </w:rPr>
              <w:t>- 68 -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6" w:history="1">
            <w:r w:rsidR="00256D0C" w:rsidRPr="00D03A38">
              <w:rPr>
                <w:rStyle w:val="Hyperlink"/>
                <w:noProof/>
              </w:rPr>
              <w:t>Figure 72: Pelamis Wave Power Generator</w:t>
            </w:r>
            <w:r w:rsidR="00256D0C">
              <w:rPr>
                <w:noProof/>
                <w:webHidden/>
              </w:rPr>
              <w:tab/>
            </w:r>
            <w:r w:rsidR="00D50FDC">
              <w:rPr>
                <w:noProof/>
                <w:webHidden/>
              </w:rPr>
              <w:fldChar w:fldCharType="begin"/>
            </w:r>
            <w:r w:rsidR="00256D0C">
              <w:rPr>
                <w:noProof/>
                <w:webHidden/>
              </w:rPr>
              <w:instrText xml:space="preserve"> PAGEREF _Toc263671726 \h </w:instrText>
            </w:r>
            <w:r w:rsidR="00D50FDC">
              <w:rPr>
                <w:noProof/>
                <w:webHidden/>
              </w:rPr>
            </w:r>
            <w:r w:rsidR="00D50FDC">
              <w:rPr>
                <w:noProof/>
                <w:webHidden/>
              </w:rPr>
              <w:fldChar w:fldCharType="separate"/>
            </w:r>
            <w:r w:rsidR="0005759A">
              <w:rPr>
                <w:noProof/>
                <w:webHidden/>
              </w:rPr>
              <w:t>- 69 -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7" w:history="1">
            <w:r w:rsidR="00256D0C" w:rsidRPr="00D03A38">
              <w:rPr>
                <w:rStyle w:val="Hyperlink"/>
                <w:noProof/>
              </w:rPr>
              <w:t>Figure 73: Other Renewables-Based Electricity Generation Markets</w:t>
            </w:r>
            <w:r w:rsidR="00256D0C">
              <w:rPr>
                <w:noProof/>
                <w:webHidden/>
              </w:rPr>
              <w:tab/>
            </w:r>
            <w:r w:rsidR="00D50FDC">
              <w:rPr>
                <w:noProof/>
                <w:webHidden/>
              </w:rPr>
              <w:fldChar w:fldCharType="begin"/>
            </w:r>
            <w:r w:rsidR="00256D0C">
              <w:rPr>
                <w:noProof/>
                <w:webHidden/>
              </w:rPr>
              <w:instrText xml:space="preserve"> PAGEREF _Toc263671727 \h </w:instrText>
            </w:r>
            <w:r w:rsidR="00D50FDC">
              <w:rPr>
                <w:noProof/>
                <w:webHidden/>
              </w:rPr>
            </w:r>
            <w:r w:rsidR="00D50FDC">
              <w:rPr>
                <w:noProof/>
                <w:webHidden/>
              </w:rPr>
              <w:fldChar w:fldCharType="separate"/>
            </w:r>
            <w:r w:rsidR="0005759A">
              <w:rPr>
                <w:noProof/>
                <w:webHidden/>
              </w:rPr>
              <w:t>- 72 -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8" w:history="1">
            <w:r w:rsidR="00256D0C" w:rsidRPr="00D03A38">
              <w:rPr>
                <w:rStyle w:val="Hyperlink"/>
                <w:noProof/>
              </w:rPr>
              <w:t>Figure 74: Renewables-Based Generation Market for Copper by Type (kt Cu)</w:t>
            </w:r>
            <w:r w:rsidR="00256D0C">
              <w:rPr>
                <w:noProof/>
                <w:webHidden/>
              </w:rPr>
              <w:tab/>
            </w:r>
            <w:r w:rsidR="00D50FDC">
              <w:rPr>
                <w:noProof/>
                <w:webHidden/>
              </w:rPr>
              <w:fldChar w:fldCharType="begin"/>
            </w:r>
            <w:r w:rsidR="00256D0C">
              <w:rPr>
                <w:noProof/>
                <w:webHidden/>
              </w:rPr>
              <w:instrText xml:space="preserve"> PAGEREF _Toc263671728 \h </w:instrText>
            </w:r>
            <w:r w:rsidR="00D50FDC">
              <w:rPr>
                <w:noProof/>
                <w:webHidden/>
              </w:rPr>
            </w:r>
            <w:r w:rsidR="00D50FDC">
              <w:rPr>
                <w:noProof/>
                <w:webHidden/>
              </w:rPr>
              <w:fldChar w:fldCharType="separate"/>
            </w:r>
            <w:r w:rsidR="0005759A">
              <w:rPr>
                <w:noProof/>
                <w:webHidden/>
              </w:rPr>
              <w:t>- 73 -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29" w:history="1">
            <w:r w:rsidR="00256D0C" w:rsidRPr="00D03A38">
              <w:rPr>
                <w:rStyle w:val="Hyperlink"/>
                <w:noProof/>
              </w:rPr>
              <w:t>Figure 75: Copper Use in Renewables Generation by Component Sector (kt Cu)</w:t>
            </w:r>
            <w:r w:rsidR="00256D0C">
              <w:rPr>
                <w:noProof/>
                <w:webHidden/>
              </w:rPr>
              <w:tab/>
            </w:r>
            <w:r w:rsidR="00D50FDC">
              <w:rPr>
                <w:noProof/>
                <w:webHidden/>
              </w:rPr>
              <w:fldChar w:fldCharType="begin"/>
            </w:r>
            <w:r w:rsidR="00256D0C">
              <w:rPr>
                <w:noProof/>
                <w:webHidden/>
              </w:rPr>
              <w:instrText xml:space="preserve"> PAGEREF _Toc263671729 \h </w:instrText>
            </w:r>
            <w:r w:rsidR="00D50FDC">
              <w:rPr>
                <w:noProof/>
                <w:webHidden/>
              </w:rPr>
            </w:r>
            <w:r w:rsidR="00D50FDC">
              <w:rPr>
                <w:noProof/>
                <w:webHidden/>
              </w:rPr>
              <w:fldChar w:fldCharType="separate"/>
            </w:r>
            <w:r w:rsidR="0005759A">
              <w:rPr>
                <w:noProof/>
                <w:webHidden/>
              </w:rPr>
              <w:t>- 73 -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0" w:history="1">
            <w:r w:rsidR="00256D0C" w:rsidRPr="00D03A38">
              <w:rPr>
                <w:rStyle w:val="Hyperlink"/>
                <w:noProof/>
              </w:rPr>
              <w:t>Figure 76: Copper Use in Renewables Generation by Fabricated Product (kt Cu)</w:t>
            </w:r>
            <w:r w:rsidR="00256D0C">
              <w:rPr>
                <w:noProof/>
                <w:webHidden/>
              </w:rPr>
              <w:tab/>
            </w:r>
            <w:r w:rsidR="00D50FDC">
              <w:rPr>
                <w:noProof/>
                <w:webHidden/>
              </w:rPr>
              <w:fldChar w:fldCharType="begin"/>
            </w:r>
            <w:r w:rsidR="00256D0C">
              <w:rPr>
                <w:noProof/>
                <w:webHidden/>
              </w:rPr>
              <w:instrText xml:space="preserve"> PAGEREF _Toc263671730 \h </w:instrText>
            </w:r>
            <w:r w:rsidR="00D50FDC">
              <w:rPr>
                <w:noProof/>
                <w:webHidden/>
              </w:rPr>
            </w:r>
            <w:r w:rsidR="00D50FDC">
              <w:rPr>
                <w:noProof/>
                <w:webHidden/>
              </w:rPr>
              <w:fldChar w:fldCharType="separate"/>
            </w:r>
            <w:r w:rsidR="0005759A">
              <w:rPr>
                <w:noProof/>
                <w:webHidden/>
              </w:rPr>
              <w:t>- 73 -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1" w:history="1">
            <w:r w:rsidR="00256D0C" w:rsidRPr="00D03A38">
              <w:rPr>
                <w:rStyle w:val="Hyperlink"/>
                <w:noProof/>
              </w:rPr>
              <w:t>Figure 77: The Underlying Dynamics for Desalination</w:t>
            </w:r>
            <w:r w:rsidR="00256D0C">
              <w:rPr>
                <w:noProof/>
                <w:webHidden/>
              </w:rPr>
              <w:tab/>
            </w:r>
            <w:r w:rsidR="00D50FDC">
              <w:rPr>
                <w:noProof/>
                <w:webHidden/>
              </w:rPr>
              <w:fldChar w:fldCharType="begin"/>
            </w:r>
            <w:r w:rsidR="00256D0C">
              <w:rPr>
                <w:noProof/>
                <w:webHidden/>
              </w:rPr>
              <w:instrText xml:space="preserve"> PAGEREF _Toc263671731 \h </w:instrText>
            </w:r>
            <w:r w:rsidR="00D50FDC">
              <w:rPr>
                <w:noProof/>
                <w:webHidden/>
              </w:rPr>
            </w:r>
            <w:r w:rsidR="00D50FDC">
              <w:rPr>
                <w:noProof/>
                <w:webHidden/>
              </w:rPr>
              <w:fldChar w:fldCharType="separate"/>
            </w:r>
            <w:r w:rsidR="0005759A">
              <w:rPr>
                <w:noProof/>
                <w:webHidden/>
              </w:rPr>
              <w:t>- 76 -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2" w:history="1">
            <w:r w:rsidR="00256D0C" w:rsidRPr="00D03A38">
              <w:rPr>
                <w:rStyle w:val="Hyperlink"/>
                <w:noProof/>
              </w:rPr>
              <w:t>Figure 78: Installed Desalination Capacity by Technology</w:t>
            </w:r>
            <w:r w:rsidR="00256D0C">
              <w:rPr>
                <w:noProof/>
                <w:webHidden/>
              </w:rPr>
              <w:tab/>
            </w:r>
            <w:r w:rsidR="00D50FDC">
              <w:rPr>
                <w:noProof/>
                <w:webHidden/>
              </w:rPr>
              <w:fldChar w:fldCharType="begin"/>
            </w:r>
            <w:r w:rsidR="00256D0C">
              <w:rPr>
                <w:noProof/>
                <w:webHidden/>
              </w:rPr>
              <w:instrText xml:space="preserve"> PAGEREF _Toc263671732 \h </w:instrText>
            </w:r>
            <w:r w:rsidR="00D50FDC">
              <w:rPr>
                <w:noProof/>
                <w:webHidden/>
              </w:rPr>
            </w:r>
            <w:r w:rsidR="00D50FDC">
              <w:rPr>
                <w:noProof/>
                <w:webHidden/>
              </w:rPr>
              <w:fldChar w:fldCharType="separate"/>
            </w:r>
            <w:r w:rsidR="0005759A">
              <w:rPr>
                <w:noProof/>
                <w:webHidden/>
              </w:rPr>
              <w:t>- 77 -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3" w:history="1">
            <w:r w:rsidR="00256D0C" w:rsidRPr="00D03A38">
              <w:rPr>
                <w:rStyle w:val="Hyperlink"/>
                <w:noProof/>
              </w:rPr>
              <w:t>Figure 79: Forecast Desalination Equipment Market</w:t>
            </w:r>
            <w:r w:rsidR="00256D0C">
              <w:rPr>
                <w:noProof/>
                <w:webHidden/>
              </w:rPr>
              <w:tab/>
            </w:r>
            <w:r w:rsidR="00D50FDC">
              <w:rPr>
                <w:noProof/>
                <w:webHidden/>
              </w:rPr>
              <w:fldChar w:fldCharType="begin"/>
            </w:r>
            <w:r w:rsidR="00256D0C">
              <w:rPr>
                <w:noProof/>
                <w:webHidden/>
              </w:rPr>
              <w:instrText xml:space="preserve"> PAGEREF _Toc263671733 \h </w:instrText>
            </w:r>
            <w:r w:rsidR="00D50FDC">
              <w:rPr>
                <w:noProof/>
                <w:webHidden/>
              </w:rPr>
            </w:r>
            <w:r w:rsidR="00D50FDC">
              <w:rPr>
                <w:noProof/>
                <w:webHidden/>
              </w:rPr>
              <w:fldChar w:fldCharType="separate"/>
            </w:r>
            <w:r w:rsidR="0005759A">
              <w:rPr>
                <w:noProof/>
                <w:webHidden/>
              </w:rPr>
              <w:t>- 78 -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4" w:history="1">
            <w:r w:rsidR="00256D0C" w:rsidRPr="00D03A38">
              <w:rPr>
                <w:rStyle w:val="Hyperlink"/>
                <w:noProof/>
              </w:rPr>
              <w:t>Figure 80: Forecast Copper Use in Desalination (kt Cu)</w:t>
            </w:r>
            <w:r w:rsidR="00256D0C">
              <w:rPr>
                <w:noProof/>
                <w:webHidden/>
              </w:rPr>
              <w:tab/>
            </w:r>
            <w:r w:rsidR="00D50FDC">
              <w:rPr>
                <w:noProof/>
                <w:webHidden/>
              </w:rPr>
              <w:fldChar w:fldCharType="begin"/>
            </w:r>
            <w:r w:rsidR="00256D0C">
              <w:rPr>
                <w:noProof/>
                <w:webHidden/>
              </w:rPr>
              <w:instrText xml:space="preserve"> PAGEREF _Toc263671734 \h </w:instrText>
            </w:r>
            <w:r w:rsidR="00D50FDC">
              <w:rPr>
                <w:noProof/>
                <w:webHidden/>
              </w:rPr>
            </w:r>
            <w:r w:rsidR="00D50FDC">
              <w:rPr>
                <w:noProof/>
                <w:webHidden/>
              </w:rPr>
              <w:fldChar w:fldCharType="separate"/>
            </w:r>
            <w:r w:rsidR="0005759A">
              <w:rPr>
                <w:noProof/>
                <w:webHidden/>
              </w:rPr>
              <w:t>- 80 -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5" w:history="1">
            <w:r w:rsidR="00256D0C" w:rsidRPr="00D03A38">
              <w:rPr>
                <w:rStyle w:val="Hyperlink"/>
                <w:noProof/>
              </w:rPr>
              <w:t>Figure 81: The Smart Grid and Lower Greenhouse Gas Emissions</w:t>
            </w:r>
            <w:r w:rsidR="00256D0C">
              <w:rPr>
                <w:noProof/>
                <w:webHidden/>
              </w:rPr>
              <w:tab/>
            </w:r>
            <w:r w:rsidR="00D50FDC">
              <w:rPr>
                <w:noProof/>
                <w:webHidden/>
              </w:rPr>
              <w:fldChar w:fldCharType="begin"/>
            </w:r>
            <w:r w:rsidR="00256D0C">
              <w:rPr>
                <w:noProof/>
                <w:webHidden/>
              </w:rPr>
              <w:instrText xml:space="preserve"> PAGEREF _Toc263671735 \h </w:instrText>
            </w:r>
            <w:r w:rsidR="00D50FDC">
              <w:rPr>
                <w:noProof/>
                <w:webHidden/>
              </w:rPr>
            </w:r>
            <w:r w:rsidR="00D50FDC">
              <w:rPr>
                <w:noProof/>
                <w:webHidden/>
              </w:rPr>
              <w:fldChar w:fldCharType="separate"/>
            </w:r>
            <w:r w:rsidR="0005759A">
              <w:rPr>
                <w:noProof/>
                <w:webHidden/>
              </w:rPr>
              <w:t>- 81 -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6" w:history="1">
            <w:r w:rsidR="00256D0C" w:rsidRPr="00D03A38">
              <w:rPr>
                <w:rStyle w:val="Hyperlink"/>
                <w:noProof/>
              </w:rPr>
              <w:t>Figure 82: Characteristics of the Smart Grid</w:t>
            </w:r>
            <w:r w:rsidR="00256D0C">
              <w:rPr>
                <w:noProof/>
                <w:webHidden/>
              </w:rPr>
              <w:tab/>
            </w:r>
            <w:r w:rsidR="00D50FDC">
              <w:rPr>
                <w:noProof/>
                <w:webHidden/>
              </w:rPr>
              <w:fldChar w:fldCharType="begin"/>
            </w:r>
            <w:r w:rsidR="00256D0C">
              <w:rPr>
                <w:noProof/>
                <w:webHidden/>
              </w:rPr>
              <w:instrText xml:space="preserve"> PAGEREF _Toc263671736 \h </w:instrText>
            </w:r>
            <w:r w:rsidR="00D50FDC">
              <w:rPr>
                <w:noProof/>
                <w:webHidden/>
              </w:rPr>
            </w:r>
            <w:r w:rsidR="00D50FDC">
              <w:rPr>
                <w:noProof/>
                <w:webHidden/>
              </w:rPr>
              <w:fldChar w:fldCharType="separate"/>
            </w:r>
            <w:r w:rsidR="0005759A">
              <w:rPr>
                <w:noProof/>
                <w:webHidden/>
              </w:rPr>
              <w:t>- 82 -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7" w:history="1">
            <w:r w:rsidR="00256D0C" w:rsidRPr="00D03A38">
              <w:rPr>
                <w:rStyle w:val="Hyperlink"/>
                <w:noProof/>
              </w:rPr>
              <w:t>Figure 83: Copper Sheathed Dynamic Cable Design and Sheath Testing</w:t>
            </w:r>
            <w:r w:rsidR="00256D0C">
              <w:rPr>
                <w:noProof/>
                <w:webHidden/>
              </w:rPr>
              <w:tab/>
            </w:r>
            <w:r w:rsidR="00D50FDC">
              <w:rPr>
                <w:noProof/>
                <w:webHidden/>
              </w:rPr>
              <w:fldChar w:fldCharType="begin"/>
            </w:r>
            <w:r w:rsidR="00256D0C">
              <w:rPr>
                <w:noProof/>
                <w:webHidden/>
              </w:rPr>
              <w:instrText xml:space="preserve"> PAGEREF _Toc263671737 \h </w:instrText>
            </w:r>
            <w:r w:rsidR="00D50FDC">
              <w:rPr>
                <w:noProof/>
                <w:webHidden/>
              </w:rPr>
            </w:r>
            <w:r w:rsidR="00D50FDC">
              <w:rPr>
                <w:noProof/>
                <w:webHidden/>
              </w:rPr>
              <w:fldChar w:fldCharType="separate"/>
            </w:r>
            <w:r w:rsidR="0005759A">
              <w:rPr>
                <w:noProof/>
                <w:webHidden/>
              </w:rPr>
              <w:t>- 85 -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8" w:history="1">
            <w:r w:rsidR="00256D0C" w:rsidRPr="00D03A38">
              <w:rPr>
                <w:rStyle w:val="Hyperlink"/>
                <w:noProof/>
              </w:rPr>
              <w:t>Figure 84: European CO</w:t>
            </w:r>
            <w:r w:rsidR="00256D0C" w:rsidRPr="00D03A38">
              <w:rPr>
                <w:rStyle w:val="Hyperlink"/>
                <w:noProof/>
                <w:vertAlign w:val="subscript"/>
              </w:rPr>
              <w:t>2</w:t>
            </w:r>
            <w:r w:rsidR="00256D0C" w:rsidRPr="00D03A38">
              <w:rPr>
                <w:rStyle w:val="Hyperlink"/>
                <w:noProof/>
              </w:rPr>
              <w:t xml:space="preserve"> Emissions Addressable by CCS</w:t>
            </w:r>
            <w:r w:rsidR="00256D0C">
              <w:rPr>
                <w:noProof/>
                <w:webHidden/>
              </w:rPr>
              <w:tab/>
            </w:r>
            <w:r w:rsidR="00D50FDC">
              <w:rPr>
                <w:noProof/>
                <w:webHidden/>
              </w:rPr>
              <w:fldChar w:fldCharType="begin"/>
            </w:r>
            <w:r w:rsidR="00256D0C">
              <w:rPr>
                <w:noProof/>
                <w:webHidden/>
              </w:rPr>
              <w:instrText xml:space="preserve"> PAGEREF _Toc263671738 \h </w:instrText>
            </w:r>
            <w:r w:rsidR="00D50FDC">
              <w:rPr>
                <w:noProof/>
                <w:webHidden/>
              </w:rPr>
            </w:r>
            <w:r w:rsidR="00D50FDC">
              <w:rPr>
                <w:noProof/>
                <w:webHidden/>
              </w:rPr>
              <w:fldChar w:fldCharType="separate"/>
            </w:r>
            <w:r w:rsidR="0005759A">
              <w:rPr>
                <w:noProof/>
                <w:webHidden/>
              </w:rPr>
              <w:t>- 87 -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39" w:history="1">
            <w:r w:rsidR="00256D0C" w:rsidRPr="00D03A38">
              <w:rPr>
                <w:rStyle w:val="Hyperlink"/>
                <w:noProof/>
              </w:rPr>
              <w:t>Figure 85: CCS to Deliver One-Fifth of the Lowest Cost CO</w:t>
            </w:r>
            <w:r w:rsidR="00256D0C" w:rsidRPr="00D03A38">
              <w:rPr>
                <w:rStyle w:val="Hyperlink"/>
                <w:noProof/>
                <w:vertAlign w:val="subscript"/>
              </w:rPr>
              <w:t>2</w:t>
            </w:r>
            <w:r w:rsidR="00256D0C" w:rsidRPr="00D03A38">
              <w:rPr>
                <w:rStyle w:val="Hyperlink"/>
                <w:noProof/>
              </w:rPr>
              <w:t xml:space="preserve"> Reduction by 2050</w:t>
            </w:r>
            <w:r w:rsidR="00256D0C">
              <w:rPr>
                <w:noProof/>
                <w:webHidden/>
              </w:rPr>
              <w:tab/>
            </w:r>
            <w:r w:rsidR="00D50FDC">
              <w:rPr>
                <w:noProof/>
                <w:webHidden/>
              </w:rPr>
              <w:fldChar w:fldCharType="begin"/>
            </w:r>
            <w:r w:rsidR="00256D0C">
              <w:rPr>
                <w:noProof/>
                <w:webHidden/>
              </w:rPr>
              <w:instrText xml:space="preserve"> PAGEREF _Toc263671739 \h </w:instrText>
            </w:r>
            <w:r w:rsidR="00D50FDC">
              <w:rPr>
                <w:noProof/>
                <w:webHidden/>
              </w:rPr>
            </w:r>
            <w:r w:rsidR="00D50FDC">
              <w:rPr>
                <w:noProof/>
                <w:webHidden/>
              </w:rPr>
              <w:fldChar w:fldCharType="separate"/>
            </w:r>
            <w:r w:rsidR="0005759A">
              <w:rPr>
                <w:noProof/>
                <w:webHidden/>
              </w:rPr>
              <w:t>- 88 -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0" w:history="1">
            <w:r w:rsidR="00256D0C" w:rsidRPr="00D03A38">
              <w:rPr>
                <w:rStyle w:val="Hyperlink"/>
                <w:noProof/>
              </w:rPr>
              <w:t>Figure 86: Schematic of a Carbon Capture and Storage Options</w:t>
            </w:r>
            <w:r w:rsidR="00256D0C">
              <w:rPr>
                <w:noProof/>
                <w:webHidden/>
              </w:rPr>
              <w:tab/>
            </w:r>
            <w:r w:rsidR="00D50FDC">
              <w:rPr>
                <w:noProof/>
                <w:webHidden/>
              </w:rPr>
              <w:fldChar w:fldCharType="begin"/>
            </w:r>
            <w:r w:rsidR="00256D0C">
              <w:rPr>
                <w:noProof/>
                <w:webHidden/>
              </w:rPr>
              <w:instrText xml:space="preserve"> PAGEREF _Toc263671740 \h </w:instrText>
            </w:r>
            <w:r w:rsidR="00D50FDC">
              <w:rPr>
                <w:noProof/>
                <w:webHidden/>
              </w:rPr>
            </w:r>
            <w:r w:rsidR="00D50FDC">
              <w:rPr>
                <w:noProof/>
                <w:webHidden/>
              </w:rPr>
              <w:fldChar w:fldCharType="separate"/>
            </w:r>
            <w:r w:rsidR="0005759A">
              <w:rPr>
                <w:noProof/>
                <w:webHidden/>
              </w:rPr>
              <w:t>- 89 -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1" w:history="1">
            <w:r w:rsidR="00256D0C" w:rsidRPr="00D03A38">
              <w:rPr>
                <w:rStyle w:val="Hyperlink"/>
                <w:noProof/>
              </w:rPr>
              <w:t>Figure 87: Main Routes to Carbon Capture</w:t>
            </w:r>
            <w:r w:rsidR="00256D0C">
              <w:rPr>
                <w:noProof/>
                <w:webHidden/>
              </w:rPr>
              <w:tab/>
            </w:r>
            <w:r w:rsidR="00D50FDC">
              <w:rPr>
                <w:noProof/>
                <w:webHidden/>
              </w:rPr>
              <w:fldChar w:fldCharType="begin"/>
            </w:r>
            <w:r w:rsidR="00256D0C">
              <w:rPr>
                <w:noProof/>
                <w:webHidden/>
              </w:rPr>
              <w:instrText xml:space="preserve"> PAGEREF _Toc263671741 \h </w:instrText>
            </w:r>
            <w:r w:rsidR="00D50FDC">
              <w:rPr>
                <w:noProof/>
                <w:webHidden/>
              </w:rPr>
            </w:r>
            <w:r w:rsidR="00D50FDC">
              <w:rPr>
                <w:noProof/>
                <w:webHidden/>
              </w:rPr>
              <w:fldChar w:fldCharType="separate"/>
            </w:r>
            <w:r w:rsidR="0005759A">
              <w:rPr>
                <w:noProof/>
                <w:webHidden/>
              </w:rPr>
              <w:t>- 89 -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2" w:history="1">
            <w:r w:rsidR="00256D0C" w:rsidRPr="00D03A38">
              <w:rPr>
                <w:rStyle w:val="Hyperlink"/>
                <w:noProof/>
              </w:rPr>
              <w:t>Figure 88: Status of CCS Component Technology Development</w:t>
            </w:r>
            <w:r w:rsidR="00256D0C">
              <w:rPr>
                <w:noProof/>
                <w:webHidden/>
              </w:rPr>
              <w:tab/>
            </w:r>
            <w:r w:rsidR="00D50FDC">
              <w:rPr>
                <w:noProof/>
                <w:webHidden/>
              </w:rPr>
              <w:fldChar w:fldCharType="begin"/>
            </w:r>
            <w:r w:rsidR="00256D0C">
              <w:rPr>
                <w:noProof/>
                <w:webHidden/>
              </w:rPr>
              <w:instrText xml:space="preserve"> PAGEREF _Toc263671742 \h </w:instrText>
            </w:r>
            <w:r w:rsidR="00D50FDC">
              <w:rPr>
                <w:noProof/>
                <w:webHidden/>
              </w:rPr>
            </w:r>
            <w:r w:rsidR="00D50FDC">
              <w:rPr>
                <w:noProof/>
                <w:webHidden/>
              </w:rPr>
              <w:fldChar w:fldCharType="separate"/>
            </w:r>
            <w:r w:rsidR="0005759A">
              <w:rPr>
                <w:noProof/>
                <w:webHidden/>
              </w:rPr>
              <w:t>- 91 -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3" w:history="1">
            <w:r w:rsidR="00256D0C" w:rsidRPr="00D03A38">
              <w:rPr>
                <w:rStyle w:val="Hyperlink"/>
                <w:noProof/>
              </w:rPr>
              <w:t>Figure 89: Global CCS Institute Asset Lifecycle Model</w:t>
            </w:r>
            <w:r w:rsidR="00256D0C">
              <w:rPr>
                <w:noProof/>
                <w:webHidden/>
              </w:rPr>
              <w:tab/>
            </w:r>
            <w:r w:rsidR="00D50FDC">
              <w:rPr>
                <w:noProof/>
                <w:webHidden/>
              </w:rPr>
              <w:fldChar w:fldCharType="begin"/>
            </w:r>
            <w:r w:rsidR="00256D0C">
              <w:rPr>
                <w:noProof/>
                <w:webHidden/>
              </w:rPr>
              <w:instrText xml:space="preserve"> PAGEREF _Toc263671743 \h </w:instrText>
            </w:r>
            <w:r w:rsidR="00D50FDC">
              <w:rPr>
                <w:noProof/>
                <w:webHidden/>
              </w:rPr>
            </w:r>
            <w:r w:rsidR="00D50FDC">
              <w:rPr>
                <w:noProof/>
                <w:webHidden/>
              </w:rPr>
              <w:fldChar w:fldCharType="separate"/>
            </w:r>
            <w:r w:rsidR="0005759A">
              <w:rPr>
                <w:noProof/>
                <w:webHidden/>
              </w:rPr>
              <w:t>- 93 -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4" w:history="1">
            <w:r w:rsidR="00256D0C" w:rsidRPr="00D03A38">
              <w:rPr>
                <w:rStyle w:val="Hyperlink"/>
                <w:noProof/>
              </w:rPr>
              <w:t>Figure 90: Asset Life Cycle stage of Integrated CCS Projects</w:t>
            </w:r>
            <w:r w:rsidR="00256D0C">
              <w:rPr>
                <w:noProof/>
                <w:webHidden/>
              </w:rPr>
              <w:tab/>
            </w:r>
            <w:r w:rsidR="00D50FDC">
              <w:rPr>
                <w:noProof/>
                <w:webHidden/>
              </w:rPr>
              <w:fldChar w:fldCharType="begin"/>
            </w:r>
            <w:r w:rsidR="00256D0C">
              <w:rPr>
                <w:noProof/>
                <w:webHidden/>
              </w:rPr>
              <w:instrText xml:space="preserve"> PAGEREF _Toc263671744 \h </w:instrText>
            </w:r>
            <w:r w:rsidR="00D50FDC">
              <w:rPr>
                <w:noProof/>
                <w:webHidden/>
              </w:rPr>
            </w:r>
            <w:r w:rsidR="00D50FDC">
              <w:rPr>
                <w:noProof/>
                <w:webHidden/>
              </w:rPr>
              <w:fldChar w:fldCharType="separate"/>
            </w:r>
            <w:r w:rsidR="0005759A">
              <w:rPr>
                <w:noProof/>
                <w:webHidden/>
              </w:rPr>
              <w:t>- 93 -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5" w:history="1">
            <w:r w:rsidR="00256D0C" w:rsidRPr="00D03A38">
              <w:rPr>
                <w:rStyle w:val="Hyperlink"/>
                <w:noProof/>
              </w:rPr>
              <w:t>Figure 91: Hypothetical Failure Scenarios for Integrated CCS Projects</w:t>
            </w:r>
            <w:r w:rsidR="00256D0C">
              <w:rPr>
                <w:noProof/>
                <w:webHidden/>
              </w:rPr>
              <w:tab/>
            </w:r>
            <w:r w:rsidR="00D50FDC">
              <w:rPr>
                <w:noProof/>
                <w:webHidden/>
              </w:rPr>
              <w:fldChar w:fldCharType="begin"/>
            </w:r>
            <w:r w:rsidR="00256D0C">
              <w:rPr>
                <w:noProof/>
                <w:webHidden/>
              </w:rPr>
              <w:instrText xml:space="preserve"> PAGEREF _Toc263671745 \h </w:instrText>
            </w:r>
            <w:r w:rsidR="00D50FDC">
              <w:rPr>
                <w:noProof/>
                <w:webHidden/>
              </w:rPr>
            </w:r>
            <w:r w:rsidR="00D50FDC">
              <w:rPr>
                <w:noProof/>
                <w:webHidden/>
              </w:rPr>
              <w:fldChar w:fldCharType="separate"/>
            </w:r>
            <w:r w:rsidR="0005759A">
              <w:rPr>
                <w:noProof/>
                <w:webHidden/>
              </w:rPr>
              <w:t>- 93 -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6" w:history="1">
            <w:r w:rsidR="00256D0C" w:rsidRPr="00D03A38">
              <w:rPr>
                <w:rStyle w:val="Hyperlink"/>
                <w:noProof/>
              </w:rPr>
              <w:t>Figure 92: Alternative CCS Roll Out Timelines</w:t>
            </w:r>
            <w:r w:rsidR="00256D0C">
              <w:rPr>
                <w:noProof/>
                <w:webHidden/>
              </w:rPr>
              <w:tab/>
            </w:r>
            <w:r w:rsidR="00D50FDC">
              <w:rPr>
                <w:noProof/>
                <w:webHidden/>
              </w:rPr>
              <w:fldChar w:fldCharType="begin"/>
            </w:r>
            <w:r w:rsidR="00256D0C">
              <w:rPr>
                <w:noProof/>
                <w:webHidden/>
              </w:rPr>
              <w:instrText xml:space="preserve"> PAGEREF _Toc263671746 \h </w:instrText>
            </w:r>
            <w:r w:rsidR="00D50FDC">
              <w:rPr>
                <w:noProof/>
                <w:webHidden/>
              </w:rPr>
            </w:r>
            <w:r w:rsidR="00D50FDC">
              <w:rPr>
                <w:noProof/>
                <w:webHidden/>
              </w:rPr>
              <w:fldChar w:fldCharType="separate"/>
            </w:r>
            <w:r w:rsidR="0005759A">
              <w:rPr>
                <w:noProof/>
                <w:webHidden/>
              </w:rPr>
              <w:t>- 94 -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7" w:history="1">
            <w:r w:rsidR="00256D0C" w:rsidRPr="00D03A38">
              <w:rPr>
                <w:rStyle w:val="Hyperlink"/>
                <w:noProof/>
              </w:rPr>
              <w:t>Figure 93: CCS Market Growth and Copper Use</w:t>
            </w:r>
            <w:r w:rsidR="00256D0C">
              <w:rPr>
                <w:noProof/>
                <w:webHidden/>
              </w:rPr>
              <w:tab/>
            </w:r>
            <w:r w:rsidR="00D50FDC">
              <w:rPr>
                <w:noProof/>
                <w:webHidden/>
              </w:rPr>
              <w:fldChar w:fldCharType="begin"/>
            </w:r>
            <w:r w:rsidR="00256D0C">
              <w:rPr>
                <w:noProof/>
                <w:webHidden/>
              </w:rPr>
              <w:instrText xml:space="preserve"> PAGEREF _Toc263671747 \h </w:instrText>
            </w:r>
            <w:r w:rsidR="00D50FDC">
              <w:rPr>
                <w:noProof/>
                <w:webHidden/>
              </w:rPr>
            </w:r>
            <w:r w:rsidR="00D50FDC">
              <w:rPr>
                <w:noProof/>
                <w:webHidden/>
              </w:rPr>
              <w:fldChar w:fldCharType="separate"/>
            </w:r>
            <w:r w:rsidR="0005759A">
              <w:rPr>
                <w:noProof/>
                <w:webHidden/>
              </w:rPr>
              <w:t>- 95 -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8" w:history="1">
            <w:r w:rsidR="00256D0C" w:rsidRPr="00D03A38">
              <w:rPr>
                <w:rStyle w:val="Hyperlink"/>
                <w:noProof/>
              </w:rPr>
              <w:t>Figure 94: Diagram of a Passivhaus</w:t>
            </w:r>
            <w:r w:rsidR="00256D0C">
              <w:rPr>
                <w:noProof/>
                <w:webHidden/>
              </w:rPr>
              <w:tab/>
            </w:r>
            <w:r w:rsidR="00D50FDC">
              <w:rPr>
                <w:noProof/>
                <w:webHidden/>
              </w:rPr>
              <w:fldChar w:fldCharType="begin"/>
            </w:r>
            <w:r w:rsidR="00256D0C">
              <w:rPr>
                <w:noProof/>
                <w:webHidden/>
              </w:rPr>
              <w:instrText xml:space="preserve"> PAGEREF _Toc263671748 \h </w:instrText>
            </w:r>
            <w:r w:rsidR="00D50FDC">
              <w:rPr>
                <w:noProof/>
                <w:webHidden/>
              </w:rPr>
            </w:r>
            <w:r w:rsidR="00D50FDC">
              <w:rPr>
                <w:noProof/>
                <w:webHidden/>
              </w:rPr>
              <w:fldChar w:fldCharType="separate"/>
            </w:r>
            <w:r w:rsidR="0005759A">
              <w:rPr>
                <w:noProof/>
                <w:webHidden/>
              </w:rPr>
              <w:t>- 98 -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49" w:history="1">
            <w:r w:rsidR="00256D0C" w:rsidRPr="00D03A38">
              <w:rPr>
                <w:rStyle w:val="Hyperlink"/>
                <w:noProof/>
              </w:rPr>
              <w:t>Figure 95: Size and Rate of Growth of the Population Aged Over 60</w:t>
            </w:r>
            <w:r w:rsidR="00256D0C">
              <w:rPr>
                <w:noProof/>
                <w:webHidden/>
              </w:rPr>
              <w:tab/>
            </w:r>
            <w:r w:rsidR="00D50FDC">
              <w:rPr>
                <w:noProof/>
                <w:webHidden/>
              </w:rPr>
              <w:fldChar w:fldCharType="begin"/>
            </w:r>
            <w:r w:rsidR="00256D0C">
              <w:rPr>
                <w:noProof/>
                <w:webHidden/>
              </w:rPr>
              <w:instrText xml:space="preserve"> PAGEREF _Toc263671749 \h </w:instrText>
            </w:r>
            <w:r w:rsidR="00D50FDC">
              <w:rPr>
                <w:noProof/>
                <w:webHidden/>
              </w:rPr>
            </w:r>
            <w:r w:rsidR="00D50FDC">
              <w:rPr>
                <w:noProof/>
                <w:webHidden/>
              </w:rPr>
              <w:fldChar w:fldCharType="separate"/>
            </w:r>
            <w:r w:rsidR="0005759A">
              <w:rPr>
                <w:noProof/>
                <w:webHidden/>
              </w:rPr>
              <w:t>- 103 -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0" w:history="1">
            <w:r w:rsidR="00256D0C" w:rsidRPr="00D03A38">
              <w:rPr>
                <w:rStyle w:val="Hyperlink"/>
                <w:noProof/>
              </w:rPr>
              <w:t>Figure 96: Forecast Percentage of Population Over 65</w:t>
            </w:r>
            <w:r w:rsidR="00256D0C">
              <w:rPr>
                <w:noProof/>
                <w:webHidden/>
              </w:rPr>
              <w:tab/>
            </w:r>
            <w:r w:rsidR="00D50FDC">
              <w:rPr>
                <w:noProof/>
                <w:webHidden/>
              </w:rPr>
              <w:fldChar w:fldCharType="begin"/>
            </w:r>
            <w:r w:rsidR="00256D0C">
              <w:rPr>
                <w:noProof/>
                <w:webHidden/>
              </w:rPr>
              <w:instrText xml:space="preserve"> PAGEREF _Toc263671750 \h </w:instrText>
            </w:r>
            <w:r w:rsidR="00D50FDC">
              <w:rPr>
                <w:noProof/>
                <w:webHidden/>
              </w:rPr>
            </w:r>
            <w:r w:rsidR="00D50FDC">
              <w:rPr>
                <w:noProof/>
                <w:webHidden/>
              </w:rPr>
              <w:fldChar w:fldCharType="separate"/>
            </w:r>
            <w:r w:rsidR="0005759A">
              <w:rPr>
                <w:noProof/>
                <w:webHidden/>
              </w:rPr>
              <w:t>- 105 -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1" w:history="1">
            <w:r w:rsidR="00256D0C" w:rsidRPr="00D03A38">
              <w:rPr>
                <w:rStyle w:val="Hyperlink"/>
                <w:noProof/>
              </w:rPr>
              <w:t>Figure 97: Population Over 65 Forecast (million)</w:t>
            </w:r>
            <w:r w:rsidR="00256D0C">
              <w:rPr>
                <w:noProof/>
                <w:webHidden/>
              </w:rPr>
              <w:tab/>
            </w:r>
            <w:r w:rsidR="00D50FDC">
              <w:rPr>
                <w:noProof/>
                <w:webHidden/>
              </w:rPr>
              <w:fldChar w:fldCharType="begin"/>
            </w:r>
            <w:r w:rsidR="00256D0C">
              <w:rPr>
                <w:noProof/>
                <w:webHidden/>
              </w:rPr>
              <w:instrText xml:space="preserve"> PAGEREF _Toc263671751 \h </w:instrText>
            </w:r>
            <w:r w:rsidR="00D50FDC">
              <w:rPr>
                <w:noProof/>
                <w:webHidden/>
              </w:rPr>
            </w:r>
            <w:r w:rsidR="00D50FDC">
              <w:rPr>
                <w:noProof/>
                <w:webHidden/>
              </w:rPr>
              <w:fldChar w:fldCharType="separate"/>
            </w:r>
            <w:r w:rsidR="0005759A">
              <w:rPr>
                <w:noProof/>
                <w:webHidden/>
              </w:rPr>
              <w:t>- 105 -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2" w:history="1">
            <w:r w:rsidR="00256D0C" w:rsidRPr="00D03A38">
              <w:rPr>
                <w:rStyle w:val="Hyperlink"/>
                <w:noProof/>
              </w:rPr>
              <w:t>Figure 98: Increase in Population Over 65 (million)</w:t>
            </w:r>
            <w:r w:rsidR="00256D0C">
              <w:rPr>
                <w:noProof/>
                <w:webHidden/>
              </w:rPr>
              <w:tab/>
            </w:r>
            <w:r w:rsidR="00D50FDC">
              <w:rPr>
                <w:noProof/>
                <w:webHidden/>
              </w:rPr>
              <w:fldChar w:fldCharType="begin"/>
            </w:r>
            <w:r w:rsidR="00256D0C">
              <w:rPr>
                <w:noProof/>
                <w:webHidden/>
              </w:rPr>
              <w:instrText xml:space="preserve"> PAGEREF _Toc263671752 \h </w:instrText>
            </w:r>
            <w:r w:rsidR="00D50FDC">
              <w:rPr>
                <w:noProof/>
                <w:webHidden/>
              </w:rPr>
            </w:r>
            <w:r w:rsidR="00D50FDC">
              <w:rPr>
                <w:noProof/>
                <w:webHidden/>
              </w:rPr>
              <w:fldChar w:fldCharType="separate"/>
            </w:r>
            <w:r w:rsidR="0005759A">
              <w:rPr>
                <w:noProof/>
                <w:webHidden/>
              </w:rPr>
              <w:t>- 105 -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3" w:history="1">
            <w:r w:rsidR="00256D0C" w:rsidRPr="00D03A38">
              <w:rPr>
                <w:rStyle w:val="Hyperlink"/>
                <w:noProof/>
              </w:rPr>
              <w:t>Figure 99: Dwellings in Place Forecast (million)</w:t>
            </w:r>
            <w:r w:rsidR="00256D0C">
              <w:rPr>
                <w:noProof/>
                <w:webHidden/>
              </w:rPr>
              <w:tab/>
            </w:r>
            <w:r w:rsidR="00D50FDC">
              <w:rPr>
                <w:noProof/>
                <w:webHidden/>
              </w:rPr>
              <w:fldChar w:fldCharType="begin"/>
            </w:r>
            <w:r w:rsidR="00256D0C">
              <w:rPr>
                <w:noProof/>
                <w:webHidden/>
              </w:rPr>
              <w:instrText xml:space="preserve"> PAGEREF _Toc263671753 \h </w:instrText>
            </w:r>
            <w:r w:rsidR="00D50FDC">
              <w:rPr>
                <w:noProof/>
                <w:webHidden/>
              </w:rPr>
            </w:r>
            <w:r w:rsidR="00D50FDC">
              <w:rPr>
                <w:noProof/>
                <w:webHidden/>
              </w:rPr>
              <w:fldChar w:fldCharType="separate"/>
            </w:r>
            <w:r w:rsidR="0005759A">
              <w:rPr>
                <w:noProof/>
                <w:webHidden/>
              </w:rPr>
              <w:t>- 106 -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4" w:history="1">
            <w:r w:rsidR="00256D0C" w:rsidRPr="00D03A38">
              <w:rPr>
                <w:rStyle w:val="Hyperlink"/>
                <w:noProof/>
              </w:rPr>
              <w:t>Figure 100: Residential Floor Space in Place (billion m</w:t>
            </w:r>
            <w:r w:rsidR="00256D0C" w:rsidRPr="00D03A38">
              <w:rPr>
                <w:rStyle w:val="Hyperlink"/>
                <w:noProof/>
                <w:vertAlign w:val="superscript"/>
              </w:rPr>
              <w:t>2</w:t>
            </w:r>
            <w:r w:rsidR="00256D0C" w:rsidRPr="00D03A38">
              <w:rPr>
                <w:rStyle w:val="Hyperlink"/>
                <w:noProof/>
              </w:rPr>
              <w:t>)</w:t>
            </w:r>
            <w:r w:rsidR="00256D0C">
              <w:rPr>
                <w:noProof/>
                <w:webHidden/>
              </w:rPr>
              <w:tab/>
            </w:r>
            <w:r w:rsidR="00D50FDC">
              <w:rPr>
                <w:noProof/>
                <w:webHidden/>
              </w:rPr>
              <w:fldChar w:fldCharType="begin"/>
            </w:r>
            <w:r w:rsidR="00256D0C">
              <w:rPr>
                <w:noProof/>
                <w:webHidden/>
              </w:rPr>
              <w:instrText xml:space="preserve"> PAGEREF _Toc263671754 \h </w:instrText>
            </w:r>
            <w:r w:rsidR="00D50FDC">
              <w:rPr>
                <w:noProof/>
                <w:webHidden/>
              </w:rPr>
            </w:r>
            <w:r w:rsidR="00D50FDC">
              <w:rPr>
                <w:noProof/>
                <w:webHidden/>
              </w:rPr>
              <w:fldChar w:fldCharType="separate"/>
            </w:r>
            <w:r w:rsidR="0005759A">
              <w:rPr>
                <w:noProof/>
                <w:webHidden/>
              </w:rPr>
              <w:t>- 106 -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5" w:history="1">
            <w:r w:rsidR="00256D0C" w:rsidRPr="00D03A38">
              <w:rPr>
                <w:rStyle w:val="Hyperlink"/>
                <w:noProof/>
              </w:rPr>
              <w:t>Figure 101: New Residential Completions Forecast (million)</w:t>
            </w:r>
            <w:r w:rsidR="00256D0C">
              <w:rPr>
                <w:noProof/>
                <w:webHidden/>
              </w:rPr>
              <w:tab/>
            </w:r>
            <w:r w:rsidR="00D50FDC">
              <w:rPr>
                <w:noProof/>
                <w:webHidden/>
              </w:rPr>
              <w:fldChar w:fldCharType="begin"/>
            </w:r>
            <w:r w:rsidR="00256D0C">
              <w:rPr>
                <w:noProof/>
                <w:webHidden/>
              </w:rPr>
              <w:instrText xml:space="preserve"> PAGEREF _Toc263671755 \h </w:instrText>
            </w:r>
            <w:r w:rsidR="00D50FDC">
              <w:rPr>
                <w:noProof/>
                <w:webHidden/>
              </w:rPr>
            </w:r>
            <w:r w:rsidR="00D50FDC">
              <w:rPr>
                <w:noProof/>
                <w:webHidden/>
              </w:rPr>
              <w:fldChar w:fldCharType="separate"/>
            </w:r>
            <w:r w:rsidR="0005759A">
              <w:rPr>
                <w:noProof/>
                <w:webHidden/>
              </w:rPr>
              <w:t>- 106 -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6" w:history="1">
            <w:r w:rsidR="00256D0C" w:rsidRPr="00D03A38">
              <w:rPr>
                <w:rStyle w:val="Hyperlink"/>
                <w:noProof/>
              </w:rPr>
              <w:t>Figure 102: New Residential Floor Space (million m</w:t>
            </w:r>
            <w:r w:rsidR="00256D0C" w:rsidRPr="00D03A38">
              <w:rPr>
                <w:rStyle w:val="Hyperlink"/>
                <w:noProof/>
                <w:vertAlign w:val="superscript"/>
              </w:rPr>
              <w:t>2</w:t>
            </w:r>
            <w:r w:rsidR="00256D0C" w:rsidRPr="00D03A38">
              <w:rPr>
                <w:rStyle w:val="Hyperlink"/>
                <w:noProof/>
              </w:rPr>
              <w:t>)</w:t>
            </w:r>
            <w:r w:rsidR="00256D0C">
              <w:rPr>
                <w:noProof/>
                <w:webHidden/>
              </w:rPr>
              <w:tab/>
            </w:r>
            <w:r w:rsidR="00D50FDC">
              <w:rPr>
                <w:noProof/>
                <w:webHidden/>
              </w:rPr>
              <w:fldChar w:fldCharType="begin"/>
            </w:r>
            <w:r w:rsidR="00256D0C">
              <w:rPr>
                <w:noProof/>
                <w:webHidden/>
              </w:rPr>
              <w:instrText xml:space="preserve"> PAGEREF _Toc263671756 \h </w:instrText>
            </w:r>
            <w:r w:rsidR="00D50FDC">
              <w:rPr>
                <w:noProof/>
                <w:webHidden/>
              </w:rPr>
            </w:r>
            <w:r w:rsidR="00D50FDC">
              <w:rPr>
                <w:noProof/>
                <w:webHidden/>
              </w:rPr>
              <w:fldChar w:fldCharType="separate"/>
            </w:r>
            <w:r w:rsidR="0005759A">
              <w:rPr>
                <w:noProof/>
                <w:webHidden/>
              </w:rPr>
              <w:t>- 107 -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7" w:history="1">
            <w:r w:rsidR="00256D0C" w:rsidRPr="00D03A38">
              <w:rPr>
                <w:rStyle w:val="Hyperlink"/>
                <w:noProof/>
              </w:rPr>
              <w:t>Figure 103: Copper in Residential Wiring in Place Forecast (kt Cu)</w:t>
            </w:r>
            <w:r w:rsidR="00256D0C">
              <w:rPr>
                <w:noProof/>
                <w:webHidden/>
              </w:rPr>
              <w:tab/>
            </w:r>
            <w:r w:rsidR="00D50FDC">
              <w:rPr>
                <w:noProof/>
                <w:webHidden/>
              </w:rPr>
              <w:fldChar w:fldCharType="begin"/>
            </w:r>
            <w:r w:rsidR="00256D0C">
              <w:rPr>
                <w:noProof/>
                <w:webHidden/>
              </w:rPr>
              <w:instrText xml:space="preserve"> PAGEREF _Toc263671757 \h </w:instrText>
            </w:r>
            <w:r w:rsidR="00D50FDC">
              <w:rPr>
                <w:noProof/>
                <w:webHidden/>
              </w:rPr>
            </w:r>
            <w:r w:rsidR="00D50FDC">
              <w:rPr>
                <w:noProof/>
                <w:webHidden/>
              </w:rPr>
              <w:fldChar w:fldCharType="separate"/>
            </w:r>
            <w:r w:rsidR="0005759A">
              <w:rPr>
                <w:noProof/>
                <w:webHidden/>
              </w:rPr>
              <w:t>- 109 -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8" w:history="1">
            <w:r w:rsidR="00256D0C" w:rsidRPr="00D03A38">
              <w:rPr>
                <w:rStyle w:val="Hyperlink"/>
                <w:noProof/>
              </w:rPr>
              <w:t>Figure 104: Incremental Rewiring - Base Scenario Forecast (kt Cu)</w:t>
            </w:r>
            <w:r w:rsidR="00256D0C">
              <w:rPr>
                <w:noProof/>
                <w:webHidden/>
              </w:rPr>
              <w:tab/>
            </w:r>
            <w:r w:rsidR="00D50FDC">
              <w:rPr>
                <w:noProof/>
                <w:webHidden/>
              </w:rPr>
              <w:fldChar w:fldCharType="begin"/>
            </w:r>
            <w:r w:rsidR="00256D0C">
              <w:rPr>
                <w:noProof/>
                <w:webHidden/>
              </w:rPr>
              <w:instrText xml:space="preserve"> PAGEREF _Toc263671758 \h </w:instrText>
            </w:r>
            <w:r w:rsidR="00D50FDC">
              <w:rPr>
                <w:noProof/>
                <w:webHidden/>
              </w:rPr>
            </w:r>
            <w:r w:rsidR="00D50FDC">
              <w:rPr>
                <w:noProof/>
                <w:webHidden/>
              </w:rPr>
              <w:fldChar w:fldCharType="separate"/>
            </w:r>
            <w:r w:rsidR="0005759A">
              <w:rPr>
                <w:noProof/>
                <w:webHidden/>
              </w:rPr>
              <w:t>- 109 -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59" w:history="1">
            <w:r w:rsidR="00256D0C" w:rsidRPr="00D03A38">
              <w:rPr>
                <w:rStyle w:val="Hyperlink"/>
                <w:noProof/>
              </w:rPr>
              <w:t>Figure 105: Incremental Rewiring - Advanced Scenario Forecast (kt Cu)</w:t>
            </w:r>
            <w:r w:rsidR="00256D0C">
              <w:rPr>
                <w:noProof/>
                <w:webHidden/>
              </w:rPr>
              <w:tab/>
            </w:r>
            <w:r w:rsidR="00D50FDC">
              <w:rPr>
                <w:noProof/>
                <w:webHidden/>
              </w:rPr>
              <w:fldChar w:fldCharType="begin"/>
            </w:r>
            <w:r w:rsidR="00256D0C">
              <w:rPr>
                <w:noProof/>
                <w:webHidden/>
              </w:rPr>
              <w:instrText xml:space="preserve"> PAGEREF _Toc263671759 \h </w:instrText>
            </w:r>
            <w:r w:rsidR="00D50FDC">
              <w:rPr>
                <w:noProof/>
                <w:webHidden/>
              </w:rPr>
            </w:r>
            <w:r w:rsidR="00D50FDC">
              <w:rPr>
                <w:noProof/>
                <w:webHidden/>
              </w:rPr>
              <w:fldChar w:fldCharType="separate"/>
            </w:r>
            <w:r w:rsidR="0005759A">
              <w:rPr>
                <w:noProof/>
                <w:webHidden/>
              </w:rPr>
              <w:t>- 109 -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0" w:history="1">
            <w:r w:rsidR="00256D0C" w:rsidRPr="00D03A38">
              <w:rPr>
                <w:rStyle w:val="Hyperlink"/>
                <w:noProof/>
              </w:rPr>
              <w:t>Figure 106: Forecast Incremental Wiring Associated With Green Technologies (kt Cu)</w:t>
            </w:r>
            <w:r w:rsidR="00256D0C">
              <w:rPr>
                <w:noProof/>
                <w:webHidden/>
              </w:rPr>
              <w:tab/>
            </w:r>
            <w:r w:rsidR="00D50FDC">
              <w:rPr>
                <w:noProof/>
                <w:webHidden/>
              </w:rPr>
              <w:fldChar w:fldCharType="begin"/>
            </w:r>
            <w:r w:rsidR="00256D0C">
              <w:rPr>
                <w:noProof/>
                <w:webHidden/>
              </w:rPr>
              <w:instrText xml:space="preserve"> PAGEREF _Toc263671760 \h </w:instrText>
            </w:r>
            <w:r w:rsidR="00D50FDC">
              <w:rPr>
                <w:noProof/>
                <w:webHidden/>
              </w:rPr>
            </w:r>
            <w:r w:rsidR="00D50FDC">
              <w:rPr>
                <w:noProof/>
                <w:webHidden/>
              </w:rPr>
              <w:fldChar w:fldCharType="separate"/>
            </w:r>
            <w:r w:rsidR="0005759A">
              <w:rPr>
                <w:noProof/>
                <w:webHidden/>
              </w:rPr>
              <w:t>- 111 -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1" w:history="1">
            <w:r w:rsidR="00256D0C" w:rsidRPr="00D03A38">
              <w:rPr>
                <w:rStyle w:val="Hyperlink"/>
                <w:noProof/>
              </w:rPr>
              <w:t>Figure 107: Smart Ageing Copper Consumption – Base Scenario (Kt Cu)</w:t>
            </w:r>
            <w:r w:rsidR="00256D0C">
              <w:rPr>
                <w:noProof/>
                <w:webHidden/>
              </w:rPr>
              <w:tab/>
            </w:r>
            <w:r w:rsidR="00D50FDC">
              <w:rPr>
                <w:noProof/>
                <w:webHidden/>
              </w:rPr>
              <w:fldChar w:fldCharType="begin"/>
            </w:r>
            <w:r w:rsidR="00256D0C">
              <w:rPr>
                <w:noProof/>
                <w:webHidden/>
              </w:rPr>
              <w:instrText xml:space="preserve"> PAGEREF _Toc263671761 \h </w:instrText>
            </w:r>
            <w:r w:rsidR="00D50FDC">
              <w:rPr>
                <w:noProof/>
                <w:webHidden/>
              </w:rPr>
            </w:r>
            <w:r w:rsidR="00D50FDC">
              <w:rPr>
                <w:noProof/>
                <w:webHidden/>
              </w:rPr>
              <w:fldChar w:fldCharType="separate"/>
            </w:r>
            <w:r w:rsidR="0005759A">
              <w:rPr>
                <w:noProof/>
                <w:webHidden/>
              </w:rPr>
              <w:t>- 114 -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2" w:history="1">
            <w:r w:rsidR="00256D0C" w:rsidRPr="00D03A38">
              <w:rPr>
                <w:rStyle w:val="Hyperlink"/>
                <w:noProof/>
              </w:rPr>
              <w:t>Figure 108: Smart Ageing, Copper Consumption per Ageing Population Addressed – Base Scenario (kg per Head)</w:t>
            </w:r>
            <w:r w:rsidR="00256D0C">
              <w:rPr>
                <w:noProof/>
                <w:webHidden/>
              </w:rPr>
              <w:tab/>
            </w:r>
            <w:r w:rsidR="00D50FDC">
              <w:rPr>
                <w:noProof/>
                <w:webHidden/>
              </w:rPr>
              <w:fldChar w:fldCharType="begin"/>
            </w:r>
            <w:r w:rsidR="00256D0C">
              <w:rPr>
                <w:noProof/>
                <w:webHidden/>
              </w:rPr>
              <w:instrText xml:space="preserve"> PAGEREF _Toc263671762 \h </w:instrText>
            </w:r>
            <w:r w:rsidR="00D50FDC">
              <w:rPr>
                <w:noProof/>
                <w:webHidden/>
              </w:rPr>
            </w:r>
            <w:r w:rsidR="00D50FDC">
              <w:rPr>
                <w:noProof/>
                <w:webHidden/>
              </w:rPr>
              <w:fldChar w:fldCharType="separate"/>
            </w:r>
            <w:r w:rsidR="0005759A">
              <w:rPr>
                <w:noProof/>
                <w:webHidden/>
              </w:rPr>
              <w:t>- 114 -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3" w:history="1">
            <w:r w:rsidR="00256D0C" w:rsidRPr="00D03A38">
              <w:rPr>
                <w:rStyle w:val="Hyperlink"/>
                <w:noProof/>
              </w:rPr>
              <w:t>Figure 109: Cumulative Smart Ageing Copper Installation per Total Ageing Population – Base Scenario (kg per Head)</w:t>
            </w:r>
            <w:r w:rsidR="00256D0C">
              <w:rPr>
                <w:noProof/>
                <w:webHidden/>
              </w:rPr>
              <w:tab/>
            </w:r>
            <w:r w:rsidR="00D50FDC">
              <w:rPr>
                <w:noProof/>
                <w:webHidden/>
              </w:rPr>
              <w:fldChar w:fldCharType="begin"/>
            </w:r>
            <w:r w:rsidR="00256D0C">
              <w:rPr>
                <w:noProof/>
                <w:webHidden/>
              </w:rPr>
              <w:instrText xml:space="preserve"> PAGEREF _Toc263671763 \h </w:instrText>
            </w:r>
            <w:r w:rsidR="00D50FDC">
              <w:rPr>
                <w:noProof/>
                <w:webHidden/>
              </w:rPr>
            </w:r>
            <w:r w:rsidR="00D50FDC">
              <w:rPr>
                <w:noProof/>
                <w:webHidden/>
              </w:rPr>
              <w:fldChar w:fldCharType="separate"/>
            </w:r>
            <w:r w:rsidR="0005759A">
              <w:rPr>
                <w:noProof/>
                <w:webHidden/>
              </w:rPr>
              <w:t>- 114 -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4" w:history="1">
            <w:r w:rsidR="00256D0C" w:rsidRPr="00D03A38">
              <w:rPr>
                <w:rStyle w:val="Hyperlink"/>
                <w:noProof/>
              </w:rPr>
              <w:t>Figure 110: Advanced Scenario Smart Ageing Copper Use in Europe</w:t>
            </w:r>
            <w:r w:rsidR="00256D0C">
              <w:rPr>
                <w:noProof/>
                <w:webHidden/>
              </w:rPr>
              <w:tab/>
            </w:r>
            <w:r w:rsidR="00D50FDC">
              <w:rPr>
                <w:noProof/>
                <w:webHidden/>
              </w:rPr>
              <w:fldChar w:fldCharType="begin"/>
            </w:r>
            <w:r w:rsidR="00256D0C">
              <w:rPr>
                <w:noProof/>
                <w:webHidden/>
              </w:rPr>
              <w:instrText xml:space="preserve"> PAGEREF _Toc263671764 \h </w:instrText>
            </w:r>
            <w:r w:rsidR="00D50FDC">
              <w:rPr>
                <w:noProof/>
                <w:webHidden/>
              </w:rPr>
            </w:r>
            <w:r w:rsidR="00D50FDC">
              <w:rPr>
                <w:noProof/>
                <w:webHidden/>
              </w:rPr>
              <w:fldChar w:fldCharType="separate"/>
            </w:r>
            <w:r w:rsidR="0005759A">
              <w:rPr>
                <w:noProof/>
                <w:webHidden/>
              </w:rPr>
              <w:t>- 115 -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5" w:history="1">
            <w:r w:rsidR="00256D0C" w:rsidRPr="00D03A38">
              <w:rPr>
                <w:rStyle w:val="Hyperlink"/>
                <w:noProof/>
              </w:rPr>
              <w:t>Figure 111: Forecast Copper in Heat Pumps (kt Cu)</w:t>
            </w:r>
            <w:r w:rsidR="00256D0C">
              <w:rPr>
                <w:noProof/>
                <w:webHidden/>
              </w:rPr>
              <w:tab/>
            </w:r>
            <w:r w:rsidR="00D50FDC">
              <w:rPr>
                <w:noProof/>
                <w:webHidden/>
              </w:rPr>
              <w:fldChar w:fldCharType="begin"/>
            </w:r>
            <w:r w:rsidR="00256D0C">
              <w:rPr>
                <w:noProof/>
                <w:webHidden/>
              </w:rPr>
              <w:instrText xml:space="preserve"> PAGEREF _Toc263671765 \h </w:instrText>
            </w:r>
            <w:r w:rsidR="00D50FDC">
              <w:rPr>
                <w:noProof/>
                <w:webHidden/>
              </w:rPr>
            </w:r>
            <w:r w:rsidR="00D50FDC">
              <w:rPr>
                <w:noProof/>
                <w:webHidden/>
              </w:rPr>
              <w:fldChar w:fldCharType="separate"/>
            </w:r>
            <w:r w:rsidR="0005759A">
              <w:rPr>
                <w:noProof/>
                <w:webHidden/>
              </w:rPr>
              <w:t>- 118 -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6" w:history="1">
            <w:r w:rsidR="00256D0C" w:rsidRPr="00D03A38">
              <w:rPr>
                <w:rStyle w:val="Hyperlink"/>
                <w:noProof/>
              </w:rPr>
              <w:t>Figure 112: Forecast Total Copper Use in Heat Pump Based and Other Green Technology Systems (kt Cu)</w:t>
            </w:r>
            <w:r w:rsidR="00256D0C">
              <w:rPr>
                <w:noProof/>
                <w:webHidden/>
              </w:rPr>
              <w:tab/>
            </w:r>
            <w:r w:rsidR="00D50FDC">
              <w:rPr>
                <w:noProof/>
                <w:webHidden/>
              </w:rPr>
              <w:fldChar w:fldCharType="begin"/>
            </w:r>
            <w:r w:rsidR="00256D0C">
              <w:rPr>
                <w:noProof/>
                <w:webHidden/>
              </w:rPr>
              <w:instrText xml:space="preserve"> PAGEREF _Toc263671766 \h </w:instrText>
            </w:r>
            <w:r w:rsidR="00D50FDC">
              <w:rPr>
                <w:noProof/>
                <w:webHidden/>
              </w:rPr>
            </w:r>
            <w:r w:rsidR="00D50FDC">
              <w:rPr>
                <w:noProof/>
                <w:webHidden/>
              </w:rPr>
              <w:fldChar w:fldCharType="separate"/>
            </w:r>
            <w:r w:rsidR="0005759A">
              <w:rPr>
                <w:noProof/>
                <w:webHidden/>
              </w:rPr>
              <w:t>- 118 -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7" w:history="1">
            <w:r w:rsidR="00256D0C" w:rsidRPr="00D03A38">
              <w:rPr>
                <w:rStyle w:val="Hyperlink"/>
                <w:noProof/>
              </w:rPr>
              <w:t>Figure 113: Potential Electricity Savings in Motor Systems in the EU</w:t>
            </w:r>
            <w:r w:rsidR="00256D0C">
              <w:rPr>
                <w:noProof/>
                <w:webHidden/>
              </w:rPr>
              <w:tab/>
            </w:r>
            <w:r w:rsidR="00D50FDC">
              <w:rPr>
                <w:noProof/>
                <w:webHidden/>
              </w:rPr>
              <w:fldChar w:fldCharType="begin"/>
            </w:r>
            <w:r w:rsidR="00256D0C">
              <w:rPr>
                <w:noProof/>
                <w:webHidden/>
              </w:rPr>
              <w:instrText xml:space="preserve"> PAGEREF _Toc263671767 \h </w:instrText>
            </w:r>
            <w:r w:rsidR="00D50FDC">
              <w:rPr>
                <w:noProof/>
                <w:webHidden/>
              </w:rPr>
            </w:r>
            <w:r w:rsidR="00D50FDC">
              <w:rPr>
                <w:noProof/>
                <w:webHidden/>
              </w:rPr>
              <w:fldChar w:fldCharType="separate"/>
            </w:r>
            <w:r w:rsidR="0005759A">
              <w:rPr>
                <w:noProof/>
                <w:webHidden/>
              </w:rPr>
              <w:t>- 120 -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8" w:history="1">
            <w:r w:rsidR="00256D0C" w:rsidRPr="00D03A38">
              <w:rPr>
                <w:rStyle w:val="Hyperlink"/>
                <w:noProof/>
              </w:rPr>
              <w:t>Figure 114: Electricity Savings Potential for Motor Driven Systems by Type of Equipment</w:t>
            </w:r>
            <w:r w:rsidR="00256D0C">
              <w:rPr>
                <w:noProof/>
                <w:webHidden/>
              </w:rPr>
              <w:tab/>
            </w:r>
            <w:r w:rsidR="00D50FDC">
              <w:rPr>
                <w:noProof/>
                <w:webHidden/>
              </w:rPr>
              <w:fldChar w:fldCharType="begin"/>
            </w:r>
            <w:r w:rsidR="00256D0C">
              <w:rPr>
                <w:noProof/>
                <w:webHidden/>
              </w:rPr>
              <w:instrText xml:space="preserve"> PAGEREF _Toc263671768 \h </w:instrText>
            </w:r>
            <w:r w:rsidR="00D50FDC">
              <w:rPr>
                <w:noProof/>
                <w:webHidden/>
              </w:rPr>
            </w:r>
            <w:r w:rsidR="00D50FDC">
              <w:rPr>
                <w:noProof/>
                <w:webHidden/>
              </w:rPr>
              <w:fldChar w:fldCharType="separate"/>
            </w:r>
            <w:r w:rsidR="0005759A">
              <w:rPr>
                <w:noProof/>
                <w:webHidden/>
              </w:rPr>
              <w:t>- 120 -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69" w:history="1">
            <w:r w:rsidR="00256D0C" w:rsidRPr="00D03A38">
              <w:rPr>
                <w:rStyle w:val="Hyperlink"/>
                <w:noProof/>
              </w:rPr>
              <w:t>Figure 115: A Diagram of the Electricity Savings Potential of an Industrial Pumping System</w:t>
            </w:r>
            <w:r w:rsidR="00256D0C">
              <w:rPr>
                <w:noProof/>
                <w:webHidden/>
              </w:rPr>
              <w:tab/>
            </w:r>
            <w:r w:rsidR="00D50FDC">
              <w:rPr>
                <w:noProof/>
                <w:webHidden/>
              </w:rPr>
              <w:fldChar w:fldCharType="begin"/>
            </w:r>
            <w:r w:rsidR="00256D0C">
              <w:rPr>
                <w:noProof/>
                <w:webHidden/>
              </w:rPr>
              <w:instrText xml:space="preserve"> PAGEREF _Toc263671769 \h </w:instrText>
            </w:r>
            <w:r w:rsidR="00D50FDC">
              <w:rPr>
                <w:noProof/>
                <w:webHidden/>
              </w:rPr>
            </w:r>
            <w:r w:rsidR="00D50FDC">
              <w:rPr>
                <w:noProof/>
                <w:webHidden/>
              </w:rPr>
              <w:fldChar w:fldCharType="separate"/>
            </w:r>
            <w:r w:rsidR="0005759A">
              <w:rPr>
                <w:noProof/>
                <w:webHidden/>
              </w:rPr>
              <w:t>- 121 -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0" w:history="1">
            <w:r w:rsidR="00256D0C" w:rsidRPr="00D03A38">
              <w:rPr>
                <w:rStyle w:val="Hyperlink"/>
                <w:noProof/>
              </w:rPr>
              <w:t>Figure 116: Implementation Timeline for EU MEPS</w:t>
            </w:r>
            <w:r w:rsidR="00256D0C">
              <w:rPr>
                <w:noProof/>
                <w:webHidden/>
              </w:rPr>
              <w:tab/>
            </w:r>
            <w:r w:rsidR="00D50FDC">
              <w:rPr>
                <w:noProof/>
                <w:webHidden/>
              </w:rPr>
              <w:fldChar w:fldCharType="begin"/>
            </w:r>
            <w:r w:rsidR="00256D0C">
              <w:rPr>
                <w:noProof/>
                <w:webHidden/>
              </w:rPr>
              <w:instrText xml:space="preserve"> PAGEREF _Toc263671770 \h </w:instrText>
            </w:r>
            <w:r w:rsidR="00D50FDC">
              <w:rPr>
                <w:noProof/>
                <w:webHidden/>
              </w:rPr>
            </w:r>
            <w:r w:rsidR="00D50FDC">
              <w:rPr>
                <w:noProof/>
                <w:webHidden/>
              </w:rPr>
              <w:fldChar w:fldCharType="separate"/>
            </w:r>
            <w:r w:rsidR="0005759A">
              <w:rPr>
                <w:noProof/>
                <w:webHidden/>
              </w:rPr>
              <w:t>- 121 -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1" w:history="1">
            <w:r w:rsidR="00256D0C" w:rsidRPr="00D03A38">
              <w:rPr>
                <w:rStyle w:val="Hyperlink"/>
                <w:noProof/>
              </w:rPr>
              <w:t>Figure 117: Comparison of International Motor Efficiency Standards</w:t>
            </w:r>
            <w:r w:rsidR="00256D0C">
              <w:rPr>
                <w:noProof/>
                <w:webHidden/>
              </w:rPr>
              <w:tab/>
            </w:r>
            <w:r w:rsidR="00D50FDC">
              <w:rPr>
                <w:noProof/>
                <w:webHidden/>
              </w:rPr>
              <w:fldChar w:fldCharType="begin"/>
            </w:r>
            <w:r w:rsidR="00256D0C">
              <w:rPr>
                <w:noProof/>
                <w:webHidden/>
              </w:rPr>
              <w:instrText xml:space="preserve"> PAGEREF _Toc263671771 \h </w:instrText>
            </w:r>
            <w:r w:rsidR="00D50FDC">
              <w:rPr>
                <w:noProof/>
                <w:webHidden/>
              </w:rPr>
            </w:r>
            <w:r w:rsidR="00D50FDC">
              <w:rPr>
                <w:noProof/>
                <w:webHidden/>
              </w:rPr>
              <w:fldChar w:fldCharType="separate"/>
            </w:r>
            <w:r w:rsidR="0005759A">
              <w:rPr>
                <w:noProof/>
                <w:webHidden/>
              </w:rPr>
              <w:t>- 122 -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2" w:history="1">
            <w:r w:rsidR="00256D0C" w:rsidRPr="00D03A38">
              <w:rPr>
                <w:rStyle w:val="Hyperlink"/>
                <w:noProof/>
              </w:rPr>
              <w:t>Figure 118: IE Efficiency Classes for 50 Hz 4-Pole Motors</w:t>
            </w:r>
            <w:r w:rsidR="00256D0C">
              <w:rPr>
                <w:noProof/>
                <w:webHidden/>
              </w:rPr>
              <w:tab/>
            </w:r>
            <w:r w:rsidR="00D50FDC">
              <w:rPr>
                <w:noProof/>
                <w:webHidden/>
              </w:rPr>
              <w:fldChar w:fldCharType="begin"/>
            </w:r>
            <w:r w:rsidR="00256D0C">
              <w:rPr>
                <w:noProof/>
                <w:webHidden/>
              </w:rPr>
              <w:instrText xml:space="preserve"> PAGEREF _Toc263671772 \h </w:instrText>
            </w:r>
            <w:r w:rsidR="00D50FDC">
              <w:rPr>
                <w:noProof/>
                <w:webHidden/>
              </w:rPr>
            </w:r>
            <w:r w:rsidR="00D50FDC">
              <w:rPr>
                <w:noProof/>
                <w:webHidden/>
              </w:rPr>
              <w:fldChar w:fldCharType="separate"/>
            </w:r>
            <w:r w:rsidR="0005759A">
              <w:rPr>
                <w:noProof/>
                <w:webHidden/>
              </w:rPr>
              <w:t>- 122 -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3" w:history="1">
            <w:r w:rsidR="00256D0C" w:rsidRPr="00D03A38">
              <w:rPr>
                <w:rStyle w:val="Hyperlink"/>
                <w:noProof/>
              </w:rPr>
              <w:t>Figure 119: Forecast Motor Market, Defined by Copper Content (Kt Cu)</w:t>
            </w:r>
            <w:r w:rsidR="00256D0C">
              <w:rPr>
                <w:noProof/>
                <w:webHidden/>
              </w:rPr>
              <w:tab/>
            </w:r>
            <w:r w:rsidR="00D50FDC">
              <w:rPr>
                <w:noProof/>
                <w:webHidden/>
              </w:rPr>
              <w:fldChar w:fldCharType="begin"/>
            </w:r>
            <w:r w:rsidR="00256D0C">
              <w:rPr>
                <w:noProof/>
                <w:webHidden/>
              </w:rPr>
              <w:instrText xml:space="preserve"> PAGEREF _Toc263671773 \h </w:instrText>
            </w:r>
            <w:r w:rsidR="00D50FDC">
              <w:rPr>
                <w:noProof/>
                <w:webHidden/>
              </w:rPr>
            </w:r>
            <w:r w:rsidR="00D50FDC">
              <w:rPr>
                <w:noProof/>
                <w:webHidden/>
              </w:rPr>
              <w:fldChar w:fldCharType="separate"/>
            </w:r>
            <w:r w:rsidR="0005759A">
              <w:rPr>
                <w:noProof/>
                <w:webHidden/>
              </w:rPr>
              <w:t>- 124 -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4" w:history="1">
            <w:r w:rsidR="00256D0C" w:rsidRPr="00D03A38">
              <w:rPr>
                <w:rStyle w:val="Hyperlink"/>
                <w:noProof/>
              </w:rPr>
              <w:t>Figure 120: Forecast CMR and Shaped Copper Conductor Motor Markets for Copper (Kt Cu)</w:t>
            </w:r>
            <w:r w:rsidR="00256D0C">
              <w:rPr>
                <w:noProof/>
                <w:webHidden/>
              </w:rPr>
              <w:tab/>
            </w:r>
            <w:r w:rsidR="00D50FDC">
              <w:rPr>
                <w:noProof/>
                <w:webHidden/>
              </w:rPr>
              <w:fldChar w:fldCharType="begin"/>
            </w:r>
            <w:r w:rsidR="00256D0C">
              <w:rPr>
                <w:noProof/>
                <w:webHidden/>
              </w:rPr>
              <w:instrText xml:space="preserve"> PAGEREF _Toc263671774 \h </w:instrText>
            </w:r>
            <w:r w:rsidR="00D50FDC">
              <w:rPr>
                <w:noProof/>
                <w:webHidden/>
              </w:rPr>
            </w:r>
            <w:r w:rsidR="00D50FDC">
              <w:rPr>
                <w:noProof/>
                <w:webHidden/>
              </w:rPr>
              <w:fldChar w:fldCharType="separate"/>
            </w:r>
            <w:r w:rsidR="0005759A">
              <w:rPr>
                <w:noProof/>
                <w:webHidden/>
              </w:rPr>
              <w:t>- 126 -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5" w:history="1">
            <w:r w:rsidR="00256D0C" w:rsidRPr="00D03A38">
              <w:rPr>
                <w:rStyle w:val="Hyperlink"/>
                <w:noProof/>
              </w:rPr>
              <w:t>Figure 121: The Role of Industrial Process Automation in Abating Greenhouse Gas Emissions</w:t>
            </w:r>
            <w:r w:rsidR="00256D0C">
              <w:rPr>
                <w:noProof/>
                <w:webHidden/>
              </w:rPr>
              <w:tab/>
            </w:r>
            <w:r w:rsidR="00D50FDC">
              <w:rPr>
                <w:noProof/>
                <w:webHidden/>
              </w:rPr>
              <w:fldChar w:fldCharType="begin"/>
            </w:r>
            <w:r w:rsidR="00256D0C">
              <w:rPr>
                <w:noProof/>
                <w:webHidden/>
              </w:rPr>
              <w:instrText xml:space="preserve"> PAGEREF _Toc263671775 \h </w:instrText>
            </w:r>
            <w:r w:rsidR="00D50FDC">
              <w:rPr>
                <w:noProof/>
                <w:webHidden/>
              </w:rPr>
            </w:r>
            <w:r w:rsidR="00D50FDC">
              <w:rPr>
                <w:noProof/>
                <w:webHidden/>
              </w:rPr>
              <w:fldChar w:fldCharType="separate"/>
            </w:r>
            <w:r w:rsidR="0005759A">
              <w:rPr>
                <w:noProof/>
                <w:webHidden/>
              </w:rPr>
              <w:t>- 127 -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6" w:history="1">
            <w:r w:rsidR="00256D0C" w:rsidRPr="00D03A38">
              <w:rPr>
                <w:rStyle w:val="Hyperlink"/>
                <w:noProof/>
              </w:rPr>
              <w:t>Figure 122: Forecast Power Electronics Market (constant US$ million)</w:t>
            </w:r>
            <w:r w:rsidR="00256D0C">
              <w:rPr>
                <w:noProof/>
                <w:webHidden/>
              </w:rPr>
              <w:tab/>
            </w:r>
            <w:r w:rsidR="00D50FDC">
              <w:rPr>
                <w:noProof/>
                <w:webHidden/>
              </w:rPr>
              <w:fldChar w:fldCharType="begin"/>
            </w:r>
            <w:r w:rsidR="00256D0C">
              <w:rPr>
                <w:noProof/>
                <w:webHidden/>
              </w:rPr>
              <w:instrText xml:space="preserve"> PAGEREF _Toc263671776 \h </w:instrText>
            </w:r>
            <w:r w:rsidR="00D50FDC">
              <w:rPr>
                <w:noProof/>
                <w:webHidden/>
              </w:rPr>
            </w:r>
            <w:r w:rsidR="00D50FDC">
              <w:rPr>
                <w:noProof/>
                <w:webHidden/>
              </w:rPr>
              <w:fldChar w:fldCharType="separate"/>
            </w:r>
            <w:r w:rsidR="0005759A">
              <w:rPr>
                <w:noProof/>
                <w:webHidden/>
              </w:rPr>
              <w:t>- 130 -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7" w:history="1">
            <w:r w:rsidR="00256D0C" w:rsidRPr="00D03A38">
              <w:rPr>
                <w:rStyle w:val="Hyperlink"/>
                <w:noProof/>
              </w:rPr>
              <w:t>Figure 123: Forecast Power Electronics Market (kt Cu)</w:t>
            </w:r>
            <w:r w:rsidR="00256D0C">
              <w:rPr>
                <w:noProof/>
                <w:webHidden/>
              </w:rPr>
              <w:tab/>
            </w:r>
            <w:r w:rsidR="00D50FDC">
              <w:rPr>
                <w:noProof/>
                <w:webHidden/>
              </w:rPr>
              <w:fldChar w:fldCharType="begin"/>
            </w:r>
            <w:r w:rsidR="00256D0C">
              <w:rPr>
                <w:noProof/>
                <w:webHidden/>
              </w:rPr>
              <w:instrText xml:space="preserve"> PAGEREF _Toc263671777 \h </w:instrText>
            </w:r>
            <w:r w:rsidR="00D50FDC">
              <w:rPr>
                <w:noProof/>
                <w:webHidden/>
              </w:rPr>
            </w:r>
            <w:r w:rsidR="00D50FDC">
              <w:rPr>
                <w:noProof/>
                <w:webHidden/>
              </w:rPr>
              <w:fldChar w:fldCharType="separate"/>
            </w:r>
            <w:r w:rsidR="0005759A">
              <w:rPr>
                <w:noProof/>
                <w:webHidden/>
              </w:rPr>
              <w:t>- 131 -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8" w:history="1">
            <w:r w:rsidR="00256D0C" w:rsidRPr="00D03A38">
              <w:rPr>
                <w:rStyle w:val="Hyperlink"/>
                <w:noProof/>
              </w:rPr>
              <w:t>Figure 124: Li-ion Batteries and Their Competitors</w:t>
            </w:r>
            <w:r w:rsidR="00256D0C">
              <w:rPr>
                <w:noProof/>
                <w:webHidden/>
              </w:rPr>
              <w:tab/>
            </w:r>
            <w:r w:rsidR="00D50FDC">
              <w:rPr>
                <w:noProof/>
                <w:webHidden/>
              </w:rPr>
              <w:fldChar w:fldCharType="begin"/>
            </w:r>
            <w:r w:rsidR="00256D0C">
              <w:rPr>
                <w:noProof/>
                <w:webHidden/>
              </w:rPr>
              <w:instrText xml:space="preserve"> PAGEREF _Toc263671778 \h </w:instrText>
            </w:r>
            <w:r w:rsidR="00D50FDC">
              <w:rPr>
                <w:noProof/>
                <w:webHidden/>
              </w:rPr>
            </w:r>
            <w:r w:rsidR="00D50FDC">
              <w:rPr>
                <w:noProof/>
                <w:webHidden/>
              </w:rPr>
              <w:fldChar w:fldCharType="separate"/>
            </w:r>
            <w:r w:rsidR="0005759A">
              <w:rPr>
                <w:noProof/>
                <w:webHidden/>
              </w:rPr>
              <w:t>- 134 -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79" w:history="1">
            <w:r w:rsidR="00256D0C" w:rsidRPr="00D03A38">
              <w:rPr>
                <w:rStyle w:val="Hyperlink"/>
                <w:noProof/>
              </w:rPr>
              <w:t>Figure 125: Possible Development Path for Fuel Cells</w:t>
            </w:r>
            <w:r w:rsidR="00256D0C">
              <w:rPr>
                <w:noProof/>
                <w:webHidden/>
              </w:rPr>
              <w:tab/>
            </w:r>
            <w:r w:rsidR="00D50FDC">
              <w:rPr>
                <w:noProof/>
                <w:webHidden/>
              </w:rPr>
              <w:fldChar w:fldCharType="begin"/>
            </w:r>
            <w:r w:rsidR="00256D0C">
              <w:rPr>
                <w:noProof/>
                <w:webHidden/>
              </w:rPr>
              <w:instrText xml:space="preserve"> PAGEREF _Toc263671779 \h </w:instrText>
            </w:r>
            <w:r w:rsidR="00D50FDC">
              <w:rPr>
                <w:noProof/>
                <w:webHidden/>
              </w:rPr>
            </w:r>
            <w:r w:rsidR="00D50FDC">
              <w:rPr>
                <w:noProof/>
                <w:webHidden/>
              </w:rPr>
              <w:fldChar w:fldCharType="separate"/>
            </w:r>
            <w:r w:rsidR="0005759A">
              <w:rPr>
                <w:noProof/>
                <w:webHidden/>
              </w:rPr>
              <w:t>- 137 -</w:t>
            </w:r>
            <w:r w:rsidR="00D50FDC">
              <w:rPr>
                <w:noProof/>
                <w:webHidden/>
              </w:rPr>
              <w:fldChar w:fldCharType="end"/>
            </w:r>
          </w:hyperlink>
        </w:p>
        <w:p w:rsidR="00256D0C" w:rsidRDefault="003C7AEB" w:rsidP="00BB1A5E">
          <w:pPr>
            <w:pStyle w:val="TableofFigures"/>
            <w:tabs>
              <w:tab w:val="right" w:leader="dot" w:pos="9174"/>
            </w:tabs>
            <w:spacing w:line="240" w:lineRule="auto"/>
            <w:jc w:val="both"/>
            <w:rPr>
              <w:rFonts w:eastAsiaTheme="minorEastAsia"/>
              <w:noProof/>
              <w:lang w:eastAsia="en-GB"/>
            </w:rPr>
          </w:pPr>
          <w:hyperlink w:anchor="_Toc263671780" w:history="1">
            <w:r w:rsidR="00256D0C" w:rsidRPr="00D03A38">
              <w:rPr>
                <w:rStyle w:val="Hyperlink"/>
                <w:noProof/>
              </w:rPr>
              <w:t>Figure 126: Forecast Copper in Emerging Energy Storage Markets (kt Cu)</w:t>
            </w:r>
            <w:r w:rsidR="00256D0C">
              <w:rPr>
                <w:noProof/>
                <w:webHidden/>
              </w:rPr>
              <w:tab/>
            </w:r>
            <w:r w:rsidR="00D50FDC">
              <w:rPr>
                <w:noProof/>
                <w:webHidden/>
              </w:rPr>
              <w:fldChar w:fldCharType="begin"/>
            </w:r>
            <w:r w:rsidR="00256D0C">
              <w:rPr>
                <w:noProof/>
                <w:webHidden/>
              </w:rPr>
              <w:instrText xml:space="preserve"> PAGEREF _Toc263671780 \h </w:instrText>
            </w:r>
            <w:r w:rsidR="00D50FDC">
              <w:rPr>
                <w:noProof/>
                <w:webHidden/>
              </w:rPr>
            </w:r>
            <w:r w:rsidR="00D50FDC">
              <w:rPr>
                <w:noProof/>
                <w:webHidden/>
              </w:rPr>
              <w:fldChar w:fldCharType="separate"/>
            </w:r>
            <w:r w:rsidR="0005759A">
              <w:rPr>
                <w:noProof/>
                <w:webHidden/>
              </w:rPr>
              <w:t>- 138 -</w:t>
            </w:r>
            <w:r w:rsidR="00D50FDC">
              <w:rPr>
                <w:noProof/>
                <w:webHidden/>
              </w:rPr>
              <w:fldChar w:fldCharType="end"/>
            </w:r>
          </w:hyperlink>
        </w:p>
        <w:p w:rsidR="004D6789" w:rsidRDefault="00D50FDC" w:rsidP="00BB1A5E">
          <w:pPr>
            <w:spacing w:line="240" w:lineRule="auto"/>
            <w:contextualSpacing/>
            <w:jc w:val="both"/>
            <w:rPr>
              <w:rFonts w:eastAsiaTheme="majorEastAsia" w:cstheme="majorBidi"/>
              <w:b/>
              <w:bCs/>
              <w:color w:val="365F91" w:themeColor="accent1" w:themeShade="BF"/>
              <w:sz w:val="28"/>
              <w:szCs w:val="28"/>
              <w:lang w:val="en-US"/>
            </w:rPr>
          </w:pPr>
          <w:r w:rsidRPr="00C95F78">
            <w:rPr>
              <w:rFonts w:eastAsiaTheme="majorEastAsia" w:cstheme="majorBidi"/>
              <w:b/>
              <w:bCs/>
              <w:color w:val="365F91" w:themeColor="accent1" w:themeShade="BF"/>
              <w:sz w:val="28"/>
              <w:szCs w:val="28"/>
              <w:lang w:val="en-US"/>
            </w:rPr>
            <w:fldChar w:fldCharType="end"/>
          </w: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2224FE" w:rsidRPr="00C95F78" w:rsidRDefault="002224FE" w:rsidP="00BB1A5E">
          <w:pPr>
            <w:spacing w:line="240" w:lineRule="auto"/>
            <w:contextualSpacing/>
            <w:jc w:val="both"/>
            <w:rPr>
              <w:rFonts w:eastAsiaTheme="majorEastAsia" w:cstheme="majorBidi"/>
              <w:b/>
              <w:bCs/>
              <w:color w:val="365F91" w:themeColor="accent1" w:themeShade="BF"/>
              <w:sz w:val="28"/>
              <w:szCs w:val="28"/>
              <w:lang w:val="en-US"/>
            </w:rPr>
          </w:pPr>
        </w:p>
        <w:p w:rsidR="004D6789" w:rsidRPr="00C95F78" w:rsidRDefault="004D6789" w:rsidP="00BB1A5E">
          <w:pPr>
            <w:spacing w:line="240" w:lineRule="auto"/>
            <w:contextualSpacing/>
            <w:jc w:val="both"/>
            <w:rPr>
              <w:rFonts w:eastAsiaTheme="majorEastAsia" w:cstheme="majorBidi"/>
              <w:b/>
              <w:bCs/>
              <w:color w:val="365F91" w:themeColor="accent1" w:themeShade="BF"/>
              <w:sz w:val="28"/>
              <w:szCs w:val="28"/>
              <w:lang w:val="en-US"/>
            </w:rPr>
          </w:pPr>
        </w:p>
        <w:p w:rsidR="004D6789" w:rsidRPr="00C95F78" w:rsidRDefault="003C7AEB" w:rsidP="00BB1A5E">
          <w:pPr>
            <w:pStyle w:val="TOC1"/>
            <w:tabs>
              <w:tab w:val="left" w:pos="440"/>
              <w:tab w:val="right" w:leader="dot" w:pos="9174"/>
            </w:tabs>
            <w:spacing w:line="240" w:lineRule="auto"/>
            <w:contextualSpacing/>
            <w:jc w:val="both"/>
          </w:pPr>
        </w:p>
      </w:sdtContent>
    </w:sdt>
    <w:p w:rsidR="008A40A2" w:rsidRPr="00C95F78" w:rsidRDefault="008A40A2" w:rsidP="00BB1A5E">
      <w:pPr>
        <w:pStyle w:val="Heading1"/>
        <w:numPr>
          <w:ilvl w:val="0"/>
          <w:numId w:val="1"/>
        </w:numPr>
        <w:spacing w:before="0" w:line="240" w:lineRule="auto"/>
        <w:ind w:left="0"/>
        <w:contextualSpacing/>
        <w:jc w:val="both"/>
        <w:rPr>
          <w:rFonts w:asciiTheme="minorHAnsi" w:hAnsiTheme="minorHAnsi"/>
          <w:sz w:val="36"/>
          <w:szCs w:val="36"/>
        </w:rPr>
        <w:sectPr w:rsidR="008A40A2" w:rsidRPr="00C95F78" w:rsidSect="008A40A2">
          <w:headerReference w:type="default" r:id="rId9"/>
          <w:footerReference w:type="default" r:id="rId10"/>
          <w:pgSz w:w="11906" w:h="16838" w:code="9"/>
          <w:pgMar w:top="1474" w:right="1361" w:bottom="1247" w:left="1361" w:header="709" w:footer="709" w:gutter="0"/>
          <w:pgNumType w:fmt="lowerRoman" w:start="1"/>
          <w:cols w:space="708"/>
          <w:titlePg/>
          <w:docGrid w:linePitch="360"/>
        </w:sectPr>
      </w:pPr>
    </w:p>
    <w:p w:rsidR="002224FE" w:rsidRPr="00C95F78" w:rsidRDefault="002224FE" w:rsidP="00223DD8">
      <w:pPr>
        <w:pStyle w:val="Heading1"/>
        <w:numPr>
          <w:ilvl w:val="0"/>
          <w:numId w:val="0"/>
        </w:numPr>
        <w:spacing w:before="0" w:line="240" w:lineRule="auto"/>
        <w:ind w:left="432"/>
        <w:contextualSpacing/>
        <w:jc w:val="center"/>
        <w:rPr>
          <w:rFonts w:asciiTheme="minorHAnsi" w:hAnsiTheme="minorHAnsi"/>
          <w:sz w:val="36"/>
          <w:szCs w:val="36"/>
        </w:rPr>
      </w:pPr>
      <w:bookmarkStart w:id="1" w:name="_Toc263688562"/>
      <w:r>
        <w:rPr>
          <w:rFonts w:asciiTheme="minorHAnsi" w:hAnsiTheme="minorHAnsi"/>
          <w:sz w:val="36"/>
          <w:szCs w:val="36"/>
        </w:rPr>
        <w:lastRenderedPageBreak/>
        <w:t>EXECUTIVE SUMMARY</w:t>
      </w:r>
      <w:bookmarkEnd w:id="1"/>
    </w:p>
    <w:p w:rsidR="002224FE" w:rsidRDefault="002224FE" w:rsidP="002224FE">
      <w:pPr>
        <w:spacing w:after="0" w:line="240" w:lineRule="auto"/>
        <w:contextualSpacing/>
        <w:jc w:val="both"/>
      </w:pP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The primary objective of this research project is to investigate the markets for copper that are at an early stage of development, identifying their size and potential growth. The main focus is Europe, although the world potential of these markets is also identified.</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We are looking essentially at very small markets that are likely to grow into “significant” ones by 2020. By “significant” we take the arbitrary figure of 5 ktpy consumption of copper.</w:t>
      </w:r>
    </w:p>
    <w:p w:rsidR="002224FE" w:rsidRPr="006C3AE6" w:rsidRDefault="002224FE" w:rsidP="002224FE">
      <w:pPr>
        <w:pStyle w:val="ListParagraph"/>
        <w:numPr>
          <w:ilvl w:val="0"/>
          <w:numId w:val="48"/>
        </w:numPr>
        <w:spacing w:after="120" w:line="240" w:lineRule="auto"/>
        <w:ind w:left="714" w:hanging="357"/>
        <w:contextualSpacing w:val="0"/>
        <w:jc w:val="both"/>
      </w:pPr>
      <w:r w:rsidRPr="006C3AE6">
        <w:t>The markets uncovered are driven by the</w:t>
      </w:r>
      <w:r w:rsidR="005C37E8">
        <w:t xml:space="preserve"> mega-trends in society, namely:</w:t>
      </w:r>
    </w:p>
    <w:p w:rsidR="002224FE" w:rsidRPr="006C3AE6" w:rsidRDefault="002224FE" w:rsidP="002224FE">
      <w:pPr>
        <w:pStyle w:val="ListParagraph"/>
        <w:numPr>
          <w:ilvl w:val="1"/>
          <w:numId w:val="48"/>
        </w:numPr>
        <w:spacing w:after="120" w:line="240" w:lineRule="auto"/>
        <w:contextualSpacing w:val="0"/>
        <w:jc w:val="both"/>
      </w:pPr>
      <w:r w:rsidRPr="006C3AE6">
        <w:t>The need for cleaner and more sustainable sources of energy.</w:t>
      </w:r>
    </w:p>
    <w:p w:rsidR="002224FE" w:rsidRPr="006C3AE6" w:rsidRDefault="002224FE" w:rsidP="002224FE">
      <w:pPr>
        <w:pStyle w:val="ListParagraph"/>
        <w:numPr>
          <w:ilvl w:val="1"/>
          <w:numId w:val="48"/>
        </w:numPr>
        <w:spacing w:after="120" w:line="240" w:lineRule="auto"/>
        <w:contextualSpacing w:val="0"/>
        <w:jc w:val="both"/>
      </w:pPr>
      <w:r w:rsidRPr="006C3AE6">
        <w:t>The need for efficient use of energy.</w:t>
      </w:r>
    </w:p>
    <w:p w:rsidR="002224FE" w:rsidRPr="006C3AE6" w:rsidRDefault="002224FE" w:rsidP="002224FE">
      <w:pPr>
        <w:pStyle w:val="ListParagraph"/>
        <w:numPr>
          <w:ilvl w:val="1"/>
          <w:numId w:val="48"/>
        </w:numPr>
        <w:spacing w:after="120" w:line="240" w:lineRule="auto"/>
        <w:contextualSpacing w:val="0"/>
        <w:jc w:val="both"/>
      </w:pPr>
      <w:r w:rsidRPr="006C3AE6">
        <w:t>An ageing population.</w:t>
      </w:r>
    </w:p>
    <w:p w:rsidR="002224FE" w:rsidRPr="006C3AE6" w:rsidRDefault="002224FE" w:rsidP="002224FE">
      <w:pPr>
        <w:pStyle w:val="ListParagraph"/>
        <w:numPr>
          <w:ilvl w:val="1"/>
          <w:numId w:val="48"/>
        </w:numPr>
        <w:spacing w:after="120" w:line="240" w:lineRule="auto"/>
        <w:contextualSpacing w:val="0"/>
        <w:jc w:val="both"/>
      </w:pPr>
      <w:r w:rsidRPr="006C3AE6">
        <w:t>Lack of clean water resource.</w:t>
      </w:r>
    </w:p>
    <w:p w:rsidR="002224FE" w:rsidRPr="006C3AE6" w:rsidRDefault="002224FE" w:rsidP="002224FE">
      <w:pPr>
        <w:pStyle w:val="ListParagraph"/>
        <w:numPr>
          <w:ilvl w:val="1"/>
          <w:numId w:val="48"/>
        </w:numPr>
        <w:spacing w:after="240" w:line="240" w:lineRule="auto"/>
        <w:contextualSpacing w:val="0"/>
        <w:jc w:val="both"/>
      </w:pPr>
      <w:r w:rsidRPr="006C3AE6">
        <w:t>An increasingly digital world.</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We are looking essentially at very small markets that are likely to grow into “significant” ones</w:t>
      </w:r>
      <w:r w:rsidR="005C37E8">
        <w:t>.</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The markets fall into four categories</w:t>
      </w:r>
      <w:r w:rsidR="005C37E8">
        <w:t>:</w:t>
      </w:r>
    </w:p>
    <w:p w:rsidR="002224FE" w:rsidRPr="006C3AE6" w:rsidRDefault="002224FE" w:rsidP="002224FE">
      <w:pPr>
        <w:pStyle w:val="ListParagraph"/>
        <w:numPr>
          <w:ilvl w:val="1"/>
          <w:numId w:val="48"/>
        </w:numPr>
        <w:spacing w:after="120" w:line="240" w:lineRule="auto"/>
        <w:contextualSpacing w:val="0"/>
        <w:jc w:val="both"/>
      </w:pPr>
      <w:r w:rsidRPr="006C3AE6">
        <w:t>Transport.</w:t>
      </w:r>
    </w:p>
    <w:p w:rsidR="002224FE" w:rsidRPr="006C3AE6" w:rsidRDefault="002224FE" w:rsidP="002224FE">
      <w:pPr>
        <w:pStyle w:val="ListParagraph"/>
        <w:numPr>
          <w:ilvl w:val="1"/>
          <w:numId w:val="48"/>
        </w:numPr>
        <w:spacing w:after="120" w:line="240" w:lineRule="auto"/>
        <w:contextualSpacing w:val="0"/>
        <w:jc w:val="both"/>
      </w:pPr>
      <w:r w:rsidRPr="006C3AE6">
        <w:t>Energy infrastructure.</w:t>
      </w:r>
    </w:p>
    <w:p w:rsidR="002224FE" w:rsidRPr="006C3AE6" w:rsidRDefault="002224FE" w:rsidP="002224FE">
      <w:pPr>
        <w:pStyle w:val="ListParagraph"/>
        <w:numPr>
          <w:ilvl w:val="1"/>
          <w:numId w:val="48"/>
        </w:numPr>
        <w:spacing w:after="120" w:line="240" w:lineRule="auto"/>
        <w:contextualSpacing w:val="0"/>
        <w:jc w:val="both"/>
      </w:pPr>
      <w:r w:rsidRPr="006C3AE6">
        <w:t>Premise and within premise equipment.</w:t>
      </w:r>
    </w:p>
    <w:p w:rsidR="002224FE" w:rsidRPr="006C3AE6" w:rsidRDefault="002224FE" w:rsidP="002224FE">
      <w:pPr>
        <w:pStyle w:val="ListParagraph"/>
        <w:numPr>
          <w:ilvl w:val="1"/>
          <w:numId w:val="48"/>
        </w:numPr>
        <w:spacing w:after="240" w:line="240" w:lineRule="auto"/>
        <w:ind w:left="1434" w:hanging="357"/>
        <w:contextualSpacing w:val="0"/>
        <w:jc w:val="both"/>
      </w:pPr>
      <w:r w:rsidRPr="006C3AE6">
        <w:t>Cross sector products and technologies</w:t>
      </w:r>
      <w:r>
        <w:t>.</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Markets can be defined either as an object (such as a certain type of car) or a component within it (such as a motor), or sometimes both. Bearing this in mind, we have constructed a matrix showing the emerging markets identified in this Report (see Table A).</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There are 18 markets that strictly meet our size and growth criteria, defined in Table B. Of these</w:t>
      </w:r>
      <w:r w:rsidR="005C37E8">
        <w:t>,</w:t>
      </w:r>
      <w:r w:rsidRPr="006C3AE6">
        <w:t xml:space="preserve"> 3 are new road vehicle types, 3 are object markets in the energy infrastructure sector, 2 are in the premise sector and 10 </w:t>
      </w:r>
      <w:r>
        <w:t xml:space="preserve">are </w:t>
      </w:r>
      <w:r w:rsidRPr="006C3AE6">
        <w:t>specific items of equipment or cross product technologies.</w:t>
      </w:r>
    </w:p>
    <w:p w:rsidR="002224FE" w:rsidRDefault="002224FE" w:rsidP="002224FE">
      <w:pPr>
        <w:pStyle w:val="ListParagraph"/>
        <w:numPr>
          <w:ilvl w:val="0"/>
          <w:numId w:val="48"/>
        </w:numPr>
        <w:spacing w:after="240" w:line="240" w:lineRule="auto"/>
        <w:ind w:left="714" w:hanging="357"/>
        <w:contextualSpacing w:val="0"/>
        <w:jc w:val="both"/>
      </w:pPr>
      <w:r w:rsidRPr="006C3AE6">
        <w:t>In Table B we show an additional 6 markets that are already too large to be considered as “emer</w:t>
      </w:r>
      <w:r>
        <w:t xml:space="preserve">ging” (mainly relating to </w:t>
      </w:r>
      <w:r w:rsidRPr="006C3AE6">
        <w:t xml:space="preserve">renewable </w:t>
      </w:r>
      <w:r>
        <w:t xml:space="preserve">source </w:t>
      </w:r>
      <w:r w:rsidRPr="006C3AE6">
        <w:t xml:space="preserve">power generation). We show these </w:t>
      </w:r>
      <w:r>
        <w:t xml:space="preserve">markets </w:t>
      </w:r>
      <w:r w:rsidRPr="006C3AE6">
        <w:t>as each is growing rapidly and it is likely that major market opportunities will be found within them.</w:t>
      </w:r>
    </w:p>
    <w:p w:rsidR="005C37E8" w:rsidRPr="005C37E8" w:rsidRDefault="002224FE" w:rsidP="002224FE">
      <w:pPr>
        <w:pStyle w:val="ListParagraph"/>
        <w:numPr>
          <w:ilvl w:val="0"/>
          <w:numId w:val="48"/>
        </w:numPr>
        <w:spacing w:after="240" w:line="240" w:lineRule="auto"/>
        <w:ind w:left="714" w:hanging="357"/>
        <w:contextualSpacing w:val="0"/>
        <w:jc w:val="both"/>
        <w:rPr>
          <w:bCs/>
        </w:rPr>
      </w:pPr>
      <w:r w:rsidRPr="006C3AE6">
        <w:t>For each market addressed, we considered not only the likely increase in copper use over the next decade, but also the certainty of achieving the amount specified, the upside potential and long term growth.</w:t>
      </w:r>
    </w:p>
    <w:p w:rsidR="002224FE" w:rsidRPr="005C37E8" w:rsidRDefault="002224FE" w:rsidP="002224FE">
      <w:pPr>
        <w:pStyle w:val="ListParagraph"/>
        <w:numPr>
          <w:ilvl w:val="0"/>
          <w:numId w:val="48"/>
        </w:numPr>
        <w:spacing w:after="240" w:line="240" w:lineRule="auto"/>
        <w:ind w:left="714" w:hanging="357"/>
        <w:contextualSpacing w:val="0"/>
        <w:jc w:val="both"/>
        <w:rPr>
          <w:bCs/>
        </w:rPr>
      </w:pPr>
      <w:r w:rsidRPr="006C3AE6">
        <w:t>The automotive market shows the richest potential for emerging markets. Two vehicle types, the Plug-in Hybrid (PHEV) and Battery Electric Vehicle (BEV), will almost certainly grow from small markets into very large ones by 2020. A third vehicle type, the Fuel Cell Electric Vehicle (FCEV) should become a significant market by 2020. Though less certain than the PHEV or BEV, the long term potential of the FCEV is thought to be greater than either.</w:t>
      </w:r>
      <w:r w:rsidRPr="005C37E8">
        <w:rPr>
          <w:sz w:val="28"/>
          <w:szCs w:val="28"/>
        </w:rPr>
        <w:br w:type="page"/>
      </w:r>
    </w:p>
    <w:p w:rsidR="002224FE" w:rsidRPr="00C95F78" w:rsidRDefault="002224FE" w:rsidP="002224FE">
      <w:pPr>
        <w:pStyle w:val="Caption"/>
        <w:spacing w:after="240"/>
        <w:contextualSpacing/>
        <w:jc w:val="center"/>
        <w:rPr>
          <w:sz w:val="28"/>
          <w:szCs w:val="28"/>
        </w:rPr>
      </w:pPr>
      <w:r>
        <w:rPr>
          <w:sz w:val="28"/>
          <w:szCs w:val="28"/>
        </w:rPr>
        <w:lastRenderedPageBreak/>
        <w:t>Table A: The Emerging Markets Defined in This Report</w:t>
      </w:r>
    </w:p>
    <w:p w:rsidR="002224FE" w:rsidRPr="007C61B2" w:rsidRDefault="00BC002E" w:rsidP="002224FE">
      <w:pPr>
        <w:spacing w:after="0" w:line="240" w:lineRule="auto"/>
      </w:pPr>
      <w:r w:rsidRPr="00BC002E">
        <w:rPr>
          <w:noProof/>
          <w:lang w:val="en-US"/>
        </w:rPr>
        <w:drawing>
          <wp:inline distT="0" distB="0" distL="0" distR="0">
            <wp:extent cx="5831840" cy="3750736"/>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31840" cy="3750736"/>
                    </a:xfrm>
                    <a:prstGeom prst="rect">
                      <a:avLst/>
                    </a:prstGeom>
                    <a:noFill/>
                    <a:ln w="9525">
                      <a:noFill/>
                      <a:miter lim="800000"/>
                      <a:headEnd/>
                      <a:tailEnd/>
                    </a:ln>
                  </pic:spPr>
                </pic:pic>
              </a:graphicData>
            </a:graphic>
          </wp:inline>
        </w:drawing>
      </w:r>
    </w:p>
    <w:p w:rsidR="002224FE" w:rsidRPr="007C61B2" w:rsidRDefault="002224FE" w:rsidP="002224FE">
      <w:pPr>
        <w:spacing w:after="0" w:line="240" w:lineRule="auto"/>
      </w:pPr>
    </w:p>
    <w:p w:rsidR="002224FE" w:rsidRDefault="002224FE" w:rsidP="002224FE">
      <w:pPr>
        <w:spacing w:after="0" w:line="240" w:lineRule="auto"/>
      </w:pPr>
    </w:p>
    <w:p w:rsidR="00E85258" w:rsidRPr="006C3AE6" w:rsidRDefault="00E85258" w:rsidP="002224FE">
      <w:pPr>
        <w:spacing w:after="0" w:line="240" w:lineRule="auto"/>
      </w:pP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Defining equipment within the automotive area also gives us emerging markets, including that in motors, high voltage harnesses, charging infrastructure and power electronics. The more established non plug-in hybrid will contribute towards these markets.</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The big opportunities in power generation are found in wind power and solar photovoltaic (PV) power. Both markets have reached a size above that we consider as emerging, even when broken down to the component group level. We do, however, consider that there may be specific opportunities in both which justify thei</w:t>
      </w:r>
      <w:r w:rsidR="003B66F1">
        <w:t>r inclusion as emerging markets.</w:t>
      </w:r>
    </w:p>
    <w:p w:rsidR="002224FE" w:rsidRPr="006C3AE6" w:rsidRDefault="002224FE" w:rsidP="002224FE">
      <w:pPr>
        <w:pStyle w:val="ListParagraph"/>
        <w:numPr>
          <w:ilvl w:val="1"/>
          <w:numId w:val="48"/>
        </w:numPr>
        <w:spacing w:after="120" w:line="240" w:lineRule="auto"/>
        <w:contextualSpacing w:val="0"/>
        <w:jc w:val="both"/>
      </w:pPr>
      <w:r w:rsidRPr="006C3AE6">
        <w:t>Between them, wind and solar power create an important emerging market for power electronics.</w:t>
      </w:r>
    </w:p>
    <w:p w:rsidR="002224FE" w:rsidRPr="006C3AE6" w:rsidRDefault="002224FE" w:rsidP="002224FE">
      <w:pPr>
        <w:pStyle w:val="ListParagraph"/>
        <w:numPr>
          <w:ilvl w:val="1"/>
          <w:numId w:val="48"/>
        </w:numPr>
        <w:spacing w:after="120" w:line="240" w:lineRule="auto"/>
        <w:contextualSpacing w:val="0"/>
        <w:jc w:val="both"/>
      </w:pPr>
      <w:r w:rsidRPr="006C3AE6">
        <w:t>Developments within wind power will create specific opportunities. The trend offshore will mean rapid growth in products adapted f</w:t>
      </w:r>
      <w:r>
        <w:t xml:space="preserve">or the offshore environment from </w:t>
      </w:r>
      <w:r w:rsidRPr="006C3AE6">
        <w:t>quite a small base. This could include special cables for floating platforms (copper sheathed) or corrosion protection cladding for wind towers, for example.</w:t>
      </w:r>
    </w:p>
    <w:p w:rsidR="002224FE" w:rsidRPr="006C3AE6" w:rsidRDefault="002224FE" w:rsidP="002224FE">
      <w:pPr>
        <w:pStyle w:val="ListParagraph"/>
        <w:numPr>
          <w:ilvl w:val="1"/>
          <w:numId w:val="48"/>
        </w:numPr>
        <w:spacing w:after="240" w:line="240" w:lineRule="auto"/>
        <w:ind w:left="1434" w:hanging="357"/>
        <w:contextualSpacing w:val="0"/>
        <w:jc w:val="both"/>
      </w:pPr>
      <w:r w:rsidRPr="006C3AE6">
        <w:t>The solar PV market offers specific oppor</w:t>
      </w:r>
      <w:r>
        <w:t>tunities for enhanced cabling. A</w:t>
      </w:r>
      <w:r w:rsidRPr="006C3AE6">
        <w:t>lso, second-generation solar cells such as CIGs may transform this market by allowing a quantum leap in market volume and greater copper intensity (as the cells are less efficient, so more of them are needed).</w:t>
      </w:r>
    </w:p>
    <w:p w:rsidR="002224FE" w:rsidRPr="006C3AE6" w:rsidRDefault="002224FE" w:rsidP="002224FE">
      <w:pPr>
        <w:pStyle w:val="ListParagraph"/>
        <w:numPr>
          <w:ilvl w:val="0"/>
          <w:numId w:val="48"/>
        </w:numPr>
        <w:spacing w:after="240" w:line="240" w:lineRule="auto"/>
        <w:contextualSpacing w:val="0"/>
        <w:jc w:val="both"/>
      </w:pPr>
      <w:r w:rsidRPr="006C3AE6">
        <w:t>Other, smaller, distributed generation types can be considered as emerging. We put Concentrating Solar</w:t>
      </w:r>
      <w:r>
        <w:t xml:space="preserve"> Power (CSP) in this category. G</w:t>
      </w:r>
      <w:r w:rsidRPr="006C3AE6">
        <w:t>oing beyond 2020, Tidal &amp; Wave energy will undoubtedly also meet the criteria, although the potential over the next decade is limited.</w:t>
      </w:r>
    </w:p>
    <w:p w:rsidR="002224FE" w:rsidRDefault="002224FE" w:rsidP="002224FE">
      <w:pPr>
        <w:pStyle w:val="ListParagraph"/>
        <w:numPr>
          <w:ilvl w:val="0"/>
          <w:numId w:val="48"/>
        </w:numPr>
        <w:spacing w:after="240" w:line="240" w:lineRule="auto"/>
        <w:contextualSpacing w:val="0"/>
        <w:jc w:val="both"/>
      </w:pPr>
      <w:r w:rsidRPr="006C3AE6">
        <w:lastRenderedPageBreak/>
        <w:t>Because of its developing link to renewable energy sources and power generation, we consider desalination under the energy infrastructure heading. There is a strong underlying dynamic behind this market, and an increasing electrical content in desalination. We define two separate emerging desalination markets: 1) the market for all copper in desalination units linked to renewable</w:t>
      </w:r>
      <w:r>
        <w:t>s</w:t>
      </w:r>
      <w:r w:rsidRPr="006C3AE6">
        <w:t xml:space="preserve"> and 2) copper in the electrical systems of all desalination plants.</w:t>
      </w:r>
    </w:p>
    <w:p w:rsidR="002224FE" w:rsidRPr="00C95F78" w:rsidRDefault="002224FE" w:rsidP="002224FE">
      <w:pPr>
        <w:pStyle w:val="Caption"/>
        <w:spacing w:after="360"/>
        <w:ind w:left="720"/>
        <w:contextualSpacing/>
        <w:jc w:val="center"/>
        <w:rPr>
          <w:sz w:val="28"/>
          <w:szCs w:val="28"/>
        </w:rPr>
      </w:pPr>
      <w:r>
        <w:rPr>
          <w:sz w:val="28"/>
          <w:szCs w:val="28"/>
        </w:rPr>
        <w:t>Table B: Size, Growth and Potential of the Emerging Markets</w:t>
      </w:r>
    </w:p>
    <w:p w:rsidR="002224FE" w:rsidRPr="007C61B2" w:rsidRDefault="00E85258" w:rsidP="00E85258">
      <w:pPr>
        <w:pStyle w:val="ListParagraph"/>
        <w:spacing w:after="0" w:line="240" w:lineRule="auto"/>
      </w:pPr>
      <w:r w:rsidRPr="00E85258">
        <w:rPr>
          <w:noProof/>
          <w:lang w:val="en-US"/>
        </w:rPr>
        <w:drawing>
          <wp:inline distT="0" distB="0" distL="0" distR="0">
            <wp:extent cx="5831840" cy="7219536"/>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31840" cy="7219536"/>
                    </a:xfrm>
                    <a:prstGeom prst="rect">
                      <a:avLst/>
                    </a:prstGeom>
                    <a:noFill/>
                    <a:ln w="9525">
                      <a:noFill/>
                      <a:miter lim="800000"/>
                      <a:headEnd/>
                      <a:tailEnd/>
                    </a:ln>
                  </pic:spPr>
                </pic:pic>
              </a:graphicData>
            </a:graphic>
          </wp:inline>
        </w:drawing>
      </w:r>
    </w:p>
    <w:p w:rsidR="002224FE" w:rsidRPr="006C3AE6" w:rsidRDefault="002224FE" w:rsidP="002224FE">
      <w:pPr>
        <w:spacing w:after="240" w:line="240" w:lineRule="auto"/>
        <w:jc w:val="both"/>
      </w:pPr>
    </w:p>
    <w:p w:rsidR="002224FE" w:rsidRPr="006C3AE6" w:rsidRDefault="002224FE" w:rsidP="002224FE">
      <w:pPr>
        <w:pStyle w:val="ListParagraph"/>
        <w:numPr>
          <w:ilvl w:val="0"/>
          <w:numId w:val="48"/>
        </w:numPr>
        <w:spacing w:after="240" w:line="240" w:lineRule="auto"/>
        <w:contextualSpacing w:val="0"/>
        <w:jc w:val="both"/>
      </w:pPr>
      <w:r w:rsidRPr="006C3AE6">
        <w:lastRenderedPageBreak/>
        <w:t xml:space="preserve">Developments in the electricity infrastructure are likely to bring about great opportunities, although we were not able to identify any specific emerging markets. The opportunities are in the areas of electronics relating to the Smart Grid, high voltage and long distance transmission </w:t>
      </w:r>
      <w:r>
        <w:t>(</w:t>
      </w:r>
      <w:r w:rsidRPr="006C3AE6">
        <w:t>bringing about a growing interest in HVDC</w:t>
      </w:r>
      <w:r>
        <w:t>)</w:t>
      </w:r>
      <w:r w:rsidRPr="006C3AE6">
        <w:t xml:space="preserve">, the </w:t>
      </w:r>
      <w:r>
        <w:t>increasing</w:t>
      </w:r>
      <w:r w:rsidRPr="006C3AE6">
        <w:t xml:space="preserve"> requirement for energy storage (covered separately), and the focus of electricity development</w:t>
      </w:r>
      <w:r>
        <w:t xml:space="preserve"> off</w:t>
      </w:r>
      <w:r w:rsidR="003B66F1">
        <w:t>s</w:t>
      </w:r>
      <w:r>
        <w:t>hore</w:t>
      </w:r>
      <w:r w:rsidRPr="006C3AE6">
        <w:t>.</w:t>
      </w:r>
    </w:p>
    <w:p w:rsidR="002224FE" w:rsidRPr="006C3AE6" w:rsidRDefault="002224FE" w:rsidP="002224FE">
      <w:pPr>
        <w:pStyle w:val="ListParagraph"/>
        <w:numPr>
          <w:ilvl w:val="0"/>
          <w:numId w:val="48"/>
        </w:numPr>
        <w:spacing w:after="240" w:line="240" w:lineRule="auto"/>
        <w:contextualSpacing w:val="0"/>
        <w:jc w:val="both"/>
      </w:pPr>
      <w:r w:rsidRPr="006C3AE6">
        <w:t>As well as building new, cleaner, electricity generating capacity, there is a growing market for cleaning up old fossil fuel plants through Carbon Capture and Storage. We see this as a market that will have just started to come of age in 2020. We therefore include it in our emerging market category.</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In the premise sector, the two emerging markets we recognise are the “smart ageing” market and advanced rewiring caused by a more rigorous inspection schedule associated with the Smart Grid.</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 xml:space="preserve">With a long-term rise in the number of elderly people, it is both socially desirable and economic that ways are found to allow people to continue living in their home once they become older and more infirm. In time, this </w:t>
      </w:r>
      <w:r>
        <w:t xml:space="preserve">dynamic </w:t>
      </w:r>
      <w:r w:rsidRPr="006C3AE6">
        <w:t>should drive a sustained growth in new wiring and systems, although it is not clear exactly when this market will take off.</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With the advent of the Smart Grid and underlying societal trends towards home working and a requirement for greater functionality, we may expect the standards of wiring in the home to improve over time. We have identified as an emerging market what we believe will be an additional demand for rewiring, resulting directly from more rigorous inspection of wiring systems.</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 xml:space="preserve">The integration of renewable energy in the building, whether in the form of heat or electricity, will create additional demands on the electrical system as well as creating a market for copper in its own right. Individual markets that we can define as emerging, however, are lacking. We show heat pumps in Table B, which is the closest we could find </w:t>
      </w:r>
      <w:r>
        <w:t xml:space="preserve">in this sector </w:t>
      </w:r>
      <w:r w:rsidRPr="006C3AE6">
        <w:t>to an emerging market as defined here.</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 xml:space="preserve">In the equipment area, the primary focus for energy efficiency is on motors and motor driven systems. Here, we identify as emerging </w:t>
      </w:r>
      <w:r>
        <w:t xml:space="preserve">the markets for </w:t>
      </w:r>
      <w:r w:rsidRPr="006C3AE6">
        <w:t>tw</w:t>
      </w:r>
      <w:r>
        <w:t xml:space="preserve">o copper-intensive motor types. These are </w:t>
      </w:r>
      <w:r w:rsidRPr="006C3AE6">
        <w:t>the Cast Motor Rotor (CMR)</w:t>
      </w:r>
      <w:r>
        <w:t xml:space="preserve"> motor</w:t>
      </w:r>
      <w:r w:rsidRPr="006C3AE6">
        <w:t>, already commercial, and shaped copper conductor motor, currently being developed.</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Aside from the motors themselves, we should consider associated equipment and also industrial automation. No specific emerging markets were found here, but some relatively small markets should achieve rapid growth. This includes</w:t>
      </w:r>
      <w:r>
        <w:t xml:space="preserve"> power electronics in Variable S</w:t>
      </w:r>
      <w:r w:rsidRPr="006C3AE6">
        <w:t>peed Drives (VSDs).</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Electronics in general is an enabling technology, helping to bring to realisation the potential for new automotive a</w:t>
      </w:r>
      <w:r>
        <w:t>nd power infrastructure markets.</w:t>
      </w:r>
      <w:r w:rsidRPr="006C3AE6">
        <w:t xml:space="preserve"> </w:t>
      </w:r>
      <w:r>
        <w:t>A</w:t>
      </w:r>
      <w:r w:rsidRPr="006C3AE6">
        <w:t>s indicated above, power electronics has important sub-markets that may be considered as emerging.</w:t>
      </w:r>
    </w:p>
    <w:p w:rsidR="002224FE" w:rsidRPr="006C3AE6" w:rsidRDefault="002224FE" w:rsidP="002224FE">
      <w:pPr>
        <w:pStyle w:val="ListParagraph"/>
        <w:numPr>
          <w:ilvl w:val="0"/>
          <w:numId w:val="48"/>
        </w:numPr>
        <w:spacing w:after="240" w:line="240" w:lineRule="auto"/>
        <w:ind w:left="714" w:hanging="357"/>
        <w:contextualSpacing w:val="0"/>
        <w:jc w:val="both"/>
      </w:pPr>
      <w:r w:rsidRPr="006C3AE6">
        <w:t xml:space="preserve">The other big enabling technology is energy storage. Copper associated with li-ion batteries and other storage devices such as fuel cells in various applications also constitute </w:t>
      </w:r>
      <w:r>
        <w:t xml:space="preserve">important </w:t>
      </w:r>
      <w:r w:rsidRPr="006C3AE6">
        <w:t>emerging markets.</w:t>
      </w:r>
    </w:p>
    <w:p w:rsidR="0074178D" w:rsidRDefault="0074178D" w:rsidP="00BB1A5E">
      <w:pPr>
        <w:spacing w:line="240" w:lineRule="auto"/>
        <w:jc w:val="both"/>
        <w:rPr>
          <w:sz w:val="36"/>
          <w:szCs w:val="36"/>
        </w:rPr>
      </w:pPr>
      <w:r>
        <w:rPr>
          <w:sz w:val="36"/>
          <w:szCs w:val="36"/>
        </w:rPr>
        <w:br w:type="page"/>
      </w:r>
    </w:p>
    <w:p w:rsidR="004D6789" w:rsidRPr="00C95F78" w:rsidRDefault="00F75B68" w:rsidP="00BB1A5E">
      <w:pPr>
        <w:pStyle w:val="Heading1"/>
        <w:numPr>
          <w:ilvl w:val="0"/>
          <w:numId w:val="1"/>
        </w:numPr>
        <w:spacing w:before="0" w:line="240" w:lineRule="auto"/>
        <w:ind w:left="0"/>
        <w:contextualSpacing/>
        <w:jc w:val="center"/>
        <w:rPr>
          <w:rFonts w:asciiTheme="minorHAnsi" w:hAnsiTheme="minorHAnsi"/>
          <w:sz w:val="36"/>
          <w:szCs w:val="36"/>
        </w:rPr>
      </w:pPr>
      <w:bookmarkStart w:id="2" w:name="_Toc263688563"/>
      <w:r w:rsidRPr="00C95F78">
        <w:rPr>
          <w:rFonts w:asciiTheme="minorHAnsi" w:hAnsiTheme="minorHAnsi"/>
          <w:sz w:val="36"/>
          <w:szCs w:val="36"/>
        </w:rPr>
        <w:t>Project Background</w:t>
      </w:r>
      <w:bookmarkEnd w:id="2"/>
    </w:p>
    <w:p w:rsidR="005A48E2" w:rsidRPr="00C95F78" w:rsidRDefault="005A48E2" w:rsidP="00BB1A5E">
      <w:pPr>
        <w:spacing w:after="0" w:line="240" w:lineRule="auto"/>
        <w:contextualSpacing/>
        <w:jc w:val="both"/>
      </w:pPr>
    </w:p>
    <w:p w:rsidR="004D6789" w:rsidRPr="00C95F78" w:rsidRDefault="00F75B68"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3" w:name="_Toc263688564"/>
      <w:r w:rsidRPr="00C95F78">
        <w:rPr>
          <w:rFonts w:asciiTheme="minorHAnsi" w:hAnsiTheme="minorHAnsi"/>
          <w:color w:val="365F91" w:themeColor="accent1" w:themeShade="BF"/>
          <w:sz w:val="30"/>
          <w:szCs w:val="30"/>
        </w:rPr>
        <w:t>Objectives</w:t>
      </w:r>
      <w:bookmarkEnd w:id="3"/>
    </w:p>
    <w:p w:rsidR="005A48E2" w:rsidRPr="00C95F78" w:rsidRDefault="005A48E2" w:rsidP="00BB1A5E">
      <w:pPr>
        <w:spacing w:after="0" w:line="240" w:lineRule="auto"/>
        <w:contextualSpacing/>
        <w:jc w:val="both"/>
      </w:pPr>
    </w:p>
    <w:p w:rsidR="005A48E2" w:rsidRPr="00C95F78" w:rsidRDefault="00E63CDC" w:rsidP="00BB1A5E">
      <w:pPr>
        <w:spacing w:after="0" w:line="240" w:lineRule="auto"/>
        <w:contextualSpacing/>
        <w:jc w:val="both"/>
      </w:pPr>
      <w:r w:rsidRPr="00C95F78">
        <w:t>The primary objective of this research project is to investigate the markets for copper that are at an early stage</w:t>
      </w:r>
      <w:r w:rsidR="003F40F0" w:rsidRPr="00C95F78">
        <w:t xml:space="preserve"> of development, identifying</w:t>
      </w:r>
      <w:r w:rsidRPr="00C95F78">
        <w:t xml:space="preserve"> </w:t>
      </w:r>
      <w:r w:rsidR="00466CE5" w:rsidRPr="00C95F78">
        <w:t xml:space="preserve">their </w:t>
      </w:r>
      <w:r w:rsidRPr="00C95F78">
        <w:t>size a</w:t>
      </w:r>
      <w:r w:rsidR="003F40F0" w:rsidRPr="00C95F78">
        <w:t>nd potential growth. The main</w:t>
      </w:r>
      <w:r w:rsidRPr="00C95F78">
        <w:t xml:space="preserve"> focus is Europe, although the world potential </w:t>
      </w:r>
      <w:r w:rsidR="002E1A5A" w:rsidRPr="00C95F78">
        <w:t xml:space="preserve">of </w:t>
      </w:r>
      <w:r w:rsidRPr="00C95F78">
        <w:t>the</w:t>
      </w:r>
      <w:r w:rsidR="00466CE5" w:rsidRPr="00C95F78">
        <w:t>se</w:t>
      </w:r>
      <w:r w:rsidRPr="00C95F78">
        <w:t xml:space="preserve"> markets is </w:t>
      </w:r>
      <w:r w:rsidR="003F40F0" w:rsidRPr="00C95F78">
        <w:t xml:space="preserve">also </w:t>
      </w:r>
      <w:r w:rsidRPr="00C95F78">
        <w:t>identified.</w:t>
      </w:r>
    </w:p>
    <w:p w:rsidR="005A48E2" w:rsidRPr="00C95F78" w:rsidRDefault="005A48E2" w:rsidP="00BB1A5E">
      <w:pPr>
        <w:spacing w:after="0" w:line="240" w:lineRule="auto"/>
        <w:contextualSpacing/>
        <w:jc w:val="both"/>
      </w:pPr>
    </w:p>
    <w:p w:rsidR="005A48E2" w:rsidRPr="00C95F78" w:rsidRDefault="003F40F0" w:rsidP="00BB1A5E">
      <w:pPr>
        <w:spacing w:after="0" w:line="240" w:lineRule="auto"/>
        <w:contextualSpacing/>
        <w:jc w:val="both"/>
      </w:pPr>
      <w:r w:rsidRPr="00C95F78">
        <w:t>We are looking essentially at</w:t>
      </w:r>
      <w:r w:rsidR="00E13329" w:rsidRPr="00C95F78">
        <w:t xml:space="preserve"> very small markets that </w:t>
      </w:r>
      <w:r w:rsidRPr="00C95F78">
        <w:t>are likely to</w:t>
      </w:r>
      <w:r w:rsidR="00E13329" w:rsidRPr="00C95F78">
        <w:t xml:space="preserve"> grow into “significant” ones b</w:t>
      </w:r>
      <w:r w:rsidRPr="00C95F78">
        <w:t>y 2020. By “significant” we take</w:t>
      </w:r>
      <w:r w:rsidR="00E13329" w:rsidRPr="00C95F78">
        <w:t xml:space="preserve"> the arbitrary figure of 5 ktpy consumption</w:t>
      </w:r>
      <w:r w:rsidR="002E1A5A" w:rsidRPr="00C95F78">
        <w:t xml:space="preserve"> of copper</w:t>
      </w:r>
      <w:r w:rsidR="00E13329" w:rsidRPr="00C95F78">
        <w:t>.</w:t>
      </w:r>
    </w:p>
    <w:p w:rsidR="005A48E2" w:rsidRPr="00C95F78" w:rsidRDefault="005A48E2" w:rsidP="00BB1A5E">
      <w:pPr>
        <w:spacing w:after="0" w:line="240" w:lineRule="auto"/>
        <w:contextualSpacing/>
        <w:jc w:val="both"/>
      </w:pPr>
    </w:p>
    <w:p w:rsidR="005A48E2" w:rsidRPr="00C95F78" w:rsidRDefault="00E13329" w:rsidP="00BB1A5E">
      <w:pPr>
        <w:spacing w:after="0" w:line="240" w:lineRule="auto"/>
        <w:contextualSpacing/>
        <w:jc w:val="both"/>
      </w:pPr>
      <w:r w:rsidRPr="00C95F78">
        <w:t xml:space="preserve">It was clear from the </w:t>
      </w:r>
      <w:r w:rsidR="00466CE5" w:rsidRPr="00C95F78">
        <w:t xml:space="preserve">outset, </w:t>
      </w:r>
      <w:r w:rsidRPr="00C95F78">
        <w:t>that it would not be possible to focus exclusively on the specific markets under review</w:t>
      </w:r>
      <w:r w:rsidR="003F40F0" w:rsidRPr="00C95F78">
        <w:t xml:space="preserve"> without reference to their context</w:t>
      </w:r>
      <w:r w:rsidRPr="00C95F78">
        <w:t xml:space="preserve">, as each </w:t>
      </w:r>
      <w:r w:rsidR="003F40F0" w:rsidRPr="00C95F78">
        <w:t xml:space="preserve">identified market </w:t>
      </w:r>
      <w:r w:rsidRPr="00C95F78">
        <w:t>forms part of a l</w:t>
      </w:r>
      <w:r w:rsidR="003F40F0" w:rsidRPr="00C95F78">
        <w:t>arger market area. It is only through an</w:t>
      </w:r>
      <w:r w:rsidRPr="00C95F78">
        <w:t xml:space="preserve"> understanding the structure of the underlying market areas and trends within them</w:t>
      </w:r>
      <w:r w:rsidR="00466CE5" w:rsidRPr="00C95F78">
        <w:t>,</w:t>
      </w:r>
      <w:r w:rsidRPr="00C95F78">
        <w:t xml:space="preserve"> that the dynamics of the indiv</w:t>
      </w:r>
      <w:r w:rsidR="003F40F0" w:rsidRPr="00C95F78">
        <w:t>idual markets under review can</w:t>
      </w:r>
      <w:r w:rsidRPr="00C95F78">
        <w:t xml:space="preserve"> be assessed. The research process</w:t>
      </w:r>
      <w:r w:rsidR="003F40F0" w:rsidRPr="00C95F78">
        <w:t>, therefore,</w:t>
      </w:r>
      <w:r w:rsidRPr="00C95F78">
        <w:t xml:space="preserve"> combine</w:t>
      </w:r>
      <w:r w:rsidR="003F40F0" w:rsidRPr="00C95F78">
        <w:t>s</w:t>
      </w:r>
      <w:r w:rsidRPr="00C95F78">
        <w:t xml:space="preserve"> a top down with a bottom up approach.</w:t>
      </w:r>
    </w:p>
    <w:p w:rsidR="005A48E2" w:rsidRPr="00C95F78" w:rsidRDefault="005A48E2" w:rsidP="00BB1A5E">
      <w:pPr>
        <w:spacing w:after="0" w:line="240" w:lineRule="auto"/>
        <w:contextualSpacing/>
        <w:jc w:val="both"/>
      </w:pPr>
    </w:p>
    <w:p w:rsidR="005A48E2" w:rsidRPr="00C95F78" w:rsidRDefault="00480315" w:rsidP="00BB1A5E">
      <w:pPr>
        <w:spacing w:after="0" w:line="240" w:lineRule="auto"/>
        <w:contextualSpacing/>
        <w:jc w:val="both"/>
      </w:pPr>
      <w:r w:rsidRPr="00C95F78">
        <w:t xml:space="preserve">With this in mind, the assessment of each market area and the identification of individual market opportunities </w:t>
      </w:r>
      <w:r w:rsidR="009C156D" w:rsidRPr="00C95F78">
        <w:t xml:space="preserve">are </w:t>
      </w:r>
      <w:r w:rsidRPr="00C95F78">
        <w:t xml:space="preserve">within the following </w:t>
      </w:r>
      <w:r w:rsidR="009C156D" w:rsidRPr="00C95F78">
        <w:t xml:space="preserve">common </w:t>
      </w:r>
      <w:r w:rsidRPr="00C95F78">
        <w:t>sequence in this Report:</w:t>
      </w:r>
    </w:p>
    <w:p w:rsidR="005A48E2" w:rsidRPr="00C95F78" w:rsidRDefault="005A48E2" w:rsidP="00BB1A5E">
      <w:pPr>
        <w:spacing w:after="0" w:line="240" w:lineRule="auto"/>
        <w:contextualSpacing/>
        <w:jc w:val="both"/>
      </w:pPr>
    </w:p>
    <w:p w:rsidR="005A48E2" w:rsidRPr="00C95F78" w:rsidRDefault="00480315" w:rsidP="00BB1A5E">
      <w:pPr>
        <w:pStyle w:val="ListParagraph"/>
        <w:numPr>
          <w:ilvl w:val="0"/>
          <w:numId w:val="5"/>
        </w:numPr>
        <w:spacing w:after="120" w:line="240" w:lineRule="auto"/>
        <w:ind w:hanging="357"/>
        <w:contextualSpacing w:val="0"/>
        <w:jc w:val="both"/>
      </w:pPr>
      <w:r w:rsidRPr="00C95F78">
        <w:t>Sector Background</w:t>
      </w:r>
      <w:r w:rsidR="00466CE5" w:rsidRPr="00C95F78">
        <w:t>.</w:t>
      </w:r>
    </w:p>
    <w:p w:rsidR="005A48E2" w:rsidRPr="00C95F78" w:rsidRDefault="00480315" w:rsidP="00BB1A5E">
      <w:pPr>
        <w:pStyle w:val="ListParagraph"/>
        <w:numPr>
          <w:ilvl w:val="0"/>
          <w:numId w:val="5"/>
        </w:numPr>
        <w:spacing w:after="120" w:line="240" w:lineRule="auto"/>
        <w:ind w:hanging="357"/>
        <w:contextualSpacing w:val="0"/>
        <w:jc w:val="both"/>
      </w:pPr>
      <w:r w:rsidRPr="00C95F78">
        <w:t>Alternative Technical Solutions</w:t>
      </w:r>
      <w:r w:rsidR="00466CE5" w:rsidRPr="00C95F78">
        <w:t>.</w:t>
      </w:r>
    </w:p>
    <w:p w:rsidR="005A48E2" w:rsidRPr="00C95F78" w:rsidRDefault="00480315" w:rsidP="00BB1A5E">
      <w:pPr>
        <w:pStyle w:val="ListParagraph"/>
        <w:numPr>
          <w:ilvl w:val="0"/>
          <w:numId w:val="5"/>
        </w:numPr>
        <w:spacing w:after="120" w:line="240" w:lineRule="auto"/>
        <w:ind w:hanging="357"/>
        <w:contextualSpacing w:val="0"/>
        <w:jc w:val="both"/>
      </w:pPr>
      <w:r w:rsidRPr="00C95F78">
        <w:t>Market Forecasts by Sector</w:t>
      </w:r>
      <w:r w:rsidR="00466CE5" w:rsidRPr="00C95F78">
        <w:t>.</w:t>
      </w:r>
    </w:p>
    <w:p w:rsidR="005A48E2" w:rsidRPr="00C95F78" w:rsidRDefault="00480315" w:rsidP="00BB1A5E">
      <w:pPr>
        <w:pStyle w:val="ListParagraph"/>
        <w:numPr>
          <w:ilvl w:val="0"/>
          <w:numId w:val="5"/>
        </w:numPr>
        <w:spacing w:after="240" w:line="240" w:lineRule="auto"/>
        <w:ind w:hanging="357"/>
        <w:contextualSpacing w:val="0"/>
        <w:jc w:val="both"/>
      </w:pPr>
      <w:r w:rsidRPr="00C95F78">
        <w:t>The Impact on Copper</w:t>
      </w:r>
      <w:r w:rsidR="00466CE5" w:rsidRPr="00C95F78">
        <w:t>.</w:t>
      </w:r>
    </w:p>
    <w:p w:rsidR="004D6789" w:rsidRPr="00C95F78" w:rsidRDefault="00266964"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4" w:name="_Toc263688565"/>
      <w:r>
        <w:rPr>
          <w:rFonts w:asciiTheme="minorHAnsi" w:hAnsiTheme="minorHAnsi"/>
          <w:color w:val="365F91" w:themeColor="accent1" w:themeShade="BF"/>
          <w:sz w:val="30"/>
          <w:szCs w:val="30"/>
        </w:rPr>
        <w:t>Market Classification</w:t>
      </w:r>
      <w:bookmarkEnd w:id="4"/>
    </w:p>
    <w:p w:rsidR="005A48E2" w:rsidRPr="00C95F78" w:rsidRDefault="005A48E2" w:rsidP="00BB1A5E">
      <w:pPr>
        <w:spacing w:after="0" w:line="240" w:lineRule="auto"/>
        <w:contextualSpacing/>
        <w:jc w:val="both"/>
      </w:pPr>
    </w:p>
    <w:p w:rsidR="005A48E2" w:rsidRPr="00C95F78" w:rsidRDefault="00480315" w:rsidP="00BB1A5E">
      <w:pPr>
        <w:spacing w:after="0" w:line="240" w:lineRule="auto"/>
        <w:contextualSpacing/>
        <w:jc w:val="both"/>
      </w:pPr>
      <w:r w:rsidRPr="00C95F78">
        <w:t>The broad market categories and the submarkets initially identified were the following:</w:t>
      </w:r>
    </w:p>
    <w:p w:rsidR="005A48E2" w:rsidRPr="00C95F78" w:rsidRDefault="005A48E2" w:rsidP="00BB1A5E">
      <w:pPr>
        <w:spacing w:after="0" w:line="240" w:lineRule="auto"/>
        <w:contextualSpacing/>
        <w:jc w:val="both"/>
      </w:pPr>
    </w:p>
    <w:p w:rsidR="005A48E2" w:rsidRPr="00C95F78" w:rsidRDefault="00E63CDC" w:rsidP="00BB1A5E">
      <w:pPr>
        <w:pStyle w:val="ListParagraph"/>
        <w:numPr>
          <w:ilvl w:val="0"/>
          <w:numId w:val="6"/>
        </w:numPr>
        <w:spacing w:after="120" w:line="240" w:lineRule="auto"/>
        <w:contextualSpacing w:val="0"/>
        <w:jc w:val="both"/>
      </w:pPr>
      <w:r w:rsidRPr="00C95F78">
        <w:t>Transport (electric vehicles, hybrid vehicles, trains and mass transit systems).</w:t>
      </w:r>
    </w:p>
    <w:p w:rsidR="005A48E2" w:rsidRPr="00C95F78" w:rsidRDefault="00E63CDC" w:rsidP="00BB1A5E">
      <w:pPr>
        <w:pStyle w:val="ListParagraph"/>
        <w:numPr>
          <w:ilvl w:val="0"/>
          <w:numId w:val="7"/>
        </w:numPr>
        <w:spacing w:after="120" w:line="240" w:lineRule="auto"/>
        <w:contextualSpacing w:val="0"/>
        <w:jc w:val="both"/>
      </w:pPr>
      <w:r w:rsidRPr="00C95F78">
        <w:t>Marine (subsea, desalination etc).</w:t>
      </w:r>
    </w:p>
    <w:p w:rsidR="005A48E2" w:rsidRPr="00C95F78" w:rsidRDefault="00E63CDC" w:rsidP="00BB1A5E">
      <w:pPr>
        <w:pStyle w:val="ListParagraph"/>
        <w:numPr>
          <w:ilvl w:val="0"/>
          <w:numId w:val="8"/>
        </w:numPr>
        <w:spacing w:after="120" w:line="240" w:lineRule="auto"/>
        <w:contextualSpacing w:val="0"/>
        <w:jc w:val="both"/>
      </w:pPr>
      <w:r w:rsidRPr="00C95F78">
        <w:t xml:space="preserve">Energy storage, </w:t>
      </w:r>
      <w:r w:rsidR="0074178D">
        <w:t>distributed</w:t>
      </w:r>
      <w:r w:rsidRPr="00C95F78">
        <w:t xml:space="preserve"> generation and renewable energy (residential heat pumps, batteries, mass storage by utilities, other storage, fuel cells, solar energy, wind power, other </w:t>
      </w:r>
      <w:r w:rsidR="0074178D">
        <w:t>distributed</w:t>
      </w:r>
      <w:r w:rsidRPr="00C95F78">
        <w:t xml:space="preserve"> generation, other renewable energy).</w:t>
      </w:r>
    </w:p>
    <w:p w:rsidR="005A48E2" w:rsidRPr="00C95F78" w:rsidRDefault="00E63CDC" w:rsidP="00BB1A5E">
      <w:pPr>
        <w:pStyle w:val="ListParagraph"/>
        <w:numPr>
          <w:ilvl w:val="0"/>
          <w:numId w:val="9"/>
        </w:numPr>
        <w:spacing w:after="120" w:line="240" w:lineRule="auto"/>
        <w:contextualSpacing w:val="0"/>
        <w:jc w:val="both"/>
      </w:pPr>
      <w:r w:rsidRPr="00C95F78">
        <w:t xml:space="preserve">Green buildings, residential and commercial (low energy homes, energy management, alternative fuel sources </w:t>
      </w:r>
      <w:r w:rsidR="0074178D">
        <w:t>distributed</w:t>
      </w:r>
      <w:r w:rsidRPr="00C95F78">
        <w:t xml:space="preserve"> generation and storage, metering, integrated communications, connected / smart appliances, digital homes).</w:t>
      </w:r>
    </w:p>
    <w:p w:rsidR="005A48E2" w:rsidRPr="00C95F78" w:rsidRDefault="00480315" w:rsidP="00BB1A5E">
      <w:pPr>
        <w:spacing w:after="0" w:line="240" w:lineRule="auto"/>
        <w:contextualSpacing/>
        <w:jc w:val="both"/>
      </w:pPr>
      <w:r w:rsidRPr="00C95F78">
        <w:t>This classification formed the basis of our initial proposal.</w:t>
      </w:r>
    </w:p>
    <w:p w:rsidR="005A48E2" w:rsidRPr="00C95F78" w:rsidRDefault="005A48E2" w:rsidP="00BB1A5E">
      <w:pPr>
        <w:spacing w:after="0" w:line="240" w:lineRule="auto"/>
        <w:contextualSpacing/>
        <w:jc w:val="both"/>
      </w:pPr>
    </w:p>
    <w:p w:rsidR="005A48E2" w:rsidRPr="00C95F78" w:rsidRDefault="00E63CDC" w:rsidP="00BB1A5E">
      <w:pPr>
        <w:spacing w:after="0" w:line="240" w:lineRule="auto"/>
        <w:contextualSpacing/>
        <w:jc w:val="both"/>
      </w:pPr>
      <w:r w:rsidRPr="00C95F78">
        <w:t>Through the course of this research, this basi</w:t>
      </w:r>
      <w:r w:rsidR="00480315" w:rsidRPr="00C95F78">
        <w:t>c division was changed a little. We</w:t>
      </w:r>
      <w:r w:rsidRPr="00C95F78">
        <w:t xml:space="preserve"> found that marine market opportunities</w:t>
      </w:r>
      <w:r w:rsidR="003F40F0" w:rsidRPr="00C95F78">
        <w:t xml:space="preserve"> usually</w:t>
      </w:r>
      <w:r w:rsidR="00E13329" w:rsidRPr="00C95F78">
        <w:t xml:space="preserve"> fall into other market groupings (mainly energy infrastructure and transport</w:t>
      </w:r>
      <w:r w:rsidR="009C156D" w:rsidRPr="00C95F78">
        <w:t>), so this did not justify a separate section heading</w:t>
      </w:r>
      <w:r w:rsidR="00E13329" w:rsidRPr="00C95F78">
        <w:t xml:space="preserve">. </w:t>
      </w:r>
    </w:p>
    <w:p w:rsidR="005A48E2" w:rsidRPr="00C95F78" w:rsidRDefault="005A48E2" w:rsidP="00BB1A5E">
      <w:pPr>
        <w:spacing w:after="0" w:line="240" w:lineRule="auto"/>
        <w:contextualSpacing/>
        <w:jc w:val="both"/>
      </w:pPr>
    </w:p>
    <w:p w:rsidR="005A48E2" w:rsidRPr="00C95F78" w:rsidRDefault="00E13329" w:rsidP="00BB1A5E">
      <w:pPr>
        <w:spacing w:after="0" w:line="240" w:lineRule="auto"/>
        <w:contextualSpacing/>
        <w:jc w:val="both"/>
      </w:pPr>
      <w:r w:rsidRPr="00C95F78">
        <w:t xml:space="preserve">We </w:t>
      </w:r>
      <w:r w:rsidR="003F40F0" w:rsidRPr="00C95F78">
        <w:t xml:space="preserve">also </w:t>
      </w:r>
      <w:r w:rsidRPr="00C95F78">
        <w:t xml:space="preserve">found the coverage of the fourth area of investigation (“Green buildings etc.”) to be unwieldy. Because of this, we </w:t>
      </w:r>
      <w:r w:rsidR="003F40F0" w:rsidRPr="00C95F78">
        <w:t>realigned this section to include three elements, “Premise”, “Equipment” and “Cross Product Technologies” and “Other Specific Market areas”.</w:t>
      </w:r>
      <w:r w:rsidRPr="00C95F78">
        <w:t xml:space="preserve">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6F6D24" w:rsidP="00BB1A5E">
      <w:pPr>
        <w:spacing w:after="0" w:line="240" w:lineRule="auto"/>
        <w:contextualSpacing/>
        <w:jc w:val="both"/>
      </w:pPr>
      <w:r w:rsidRPr="00C95F78">
        <w:t xml:space="preserve">The Section headings in this Report </w:t>
      </w:r>
      <w:r w:rsidR="00466CE5" w:rsidRPr="00C95F78">
        <w:t xml:space="preserve">are </w:t>
      </w:r>
      <w:r w:rsidRPr="00C95F78">
        <w:t>therefore as follows:</w:t>
      </w:r>
    </w:p>
    <w:p w:rsidR="005A48E2" w:rsidRPr="00C95F78" w:rsidRDefault="005A48E2" w:rsidP="00BB1A5E">
      <w:pPr>
        <w:spacing w:after="0" w:line="240" w:lineRule="auto"/>
        <w:contextualSpacing/>
        <w:jc w:val="both"/>
      </w:pPr>
    </w:p>
    <w:p w:rsidR="005A48E2" w:rsidRPr="00C95F78" w:rsidRDefault="009C156D" w:rsidP="00BB1A5E">
      <w:pPr>
        <w:pStyle w:val="ListParagraph"/>
        <w:numPr>
          <w:ilvl w:val="0"/>
          <w:numId w:val="10"/>
        </w:numPr>
        <w:spacing w:after="120" w:line="240" w:lineRule="auto"/>
        <w:contextualSpacing w:val="0"/>
        <w:jc w:val="both"/>
      </w:pPr>
      <w:r w:rsidRPr="00C95F78">
        <w:t>Transport</w:t>
      </w:r>
      <w:r w:rsidR="00466CE5" w:rsidRPr="00C95F78">
        <w:t>.</w:t>
      </w:r>
    </w:p>
    <w:p w:rsidR="005A48E2" w:rsidRPr="00C95F78" w:rsidRDefault="009C156D" w:rsidP="00BB1A5E">
      <w:pPr>
        <w:pStyle w:val="ListParagraph"/>
        <w:numPr>
          <w:ilvl w:val="0"/>
          <w:numId w:val="10"/>
        </w:numPr>
        <w:spacing w:after="120" w:line="240" w:lineRule="auto"/>
        <w:contextualSpacing w:val="0"/>
        <w:jc w:val="both"/>
      </w:pPr>
      <w:r w:rsidRPr="00C95F78">
        <w:t>Electricity Infrastructure</w:t>
      </w:r>
      <w:r w:rsidR="00466CE5" w:rsidRPr="00C95F78">
        <w:t>.</w:t>
      </w:r>
    </w:p>
    <w:p w:rsidR="005A48E2" w:rsidRPr="00C95F78" w:rsidRDefault="009C156D" w:rsidP="00BB1A5E">
      <w:pPr>
        <w:pStyle w:val="ListParagraph"/>
        <w:numPr>
          <w:ilvl w:val="0"/>
          <w:numId w:val="10"/>
        </w:numPr>
        <w:spacing w:after="240" w:line="240" w:lineRule="auto"/>
        <w:ind w:hanging="357"/>
        <w:contextualSpacing w:val="0"/>
        <w:jc w:val="both"/>
      </w:pPr>
      <w:r w:rsidRPr="00C95F78">
        <w:t>Premise</w:t>
      </w:r>
      <w:r w:rsidR="006F6D24" w:rsidRPr="00C95F78">
        <w:t>, Equipment and Other Markets</w:t>
      </w:r>
      <w:r w:rsidR="00466CE5" w:rsidRPr="00C95F78">
        <w:t>.</w:t>
      </w:r>
    </w:p>
    <w:p w:rsidR="005A48E2" w:rsidRPr="00C95F78" w:rsidRDefault="006F6D24" w:rsidP="00BB1A5E">
      <w:pPr>
        <w:spacing w:after="0" w:line="240" w:lineRule="auto"/>
        <w:jc w:val="both"/>
      </w:pPr>
      <w:r w:rsidRPr="00C95F78">
        <w:t xml:space="preserve">The third Section listed above is something of a </w:t>
      </w:r>
      <w:r w:rsidR="008240DA" w:rsidRPr="00C95F78">
        <w:t>“</w:t>
      </w:r>
      <w:r w:rsidRPr="00C95F78">
        <w:t>catch all</w:t>
      </w:r>
      <w:r w:rsidR="008240DA" w:rsidRPr="00C95F78">
        <w:t>”</w:t>
      </w:r>
      <w:r w:rsidRPr="00C95F78">
        <w:t xml:space="preserve"> category. The main part of it, however, relates to the fabric of buildings and equipment, which mainly functions within buildings. Apart from this, there is coverage of some technologies that apply to equipment both within and outside the premises (motors and drive systems, power electronics, energy storage etc.) and also some discrete markets that do not fit easily into any other category, such as desalination.</w:t>
      </w:r>
    </w:p>
    <w:p w:rsidR="005A48E2" w:rsidRPr="00C95F78" w:rsidRDefault="005A48E2" w:rsidP="00BB1A5E">
      <w:pPr>
        <w:spacing w:after="0" w:line="240" w:lineRule="auto"/>
        <w:jc w:val="both"/>
      </w:pPr>
    </w:p>
    <w:p w:rsidR="004D6789" w:rsidRPr="00C95F78" w:rsidRDefault="009C156D"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5" w:name="_Toc263688566"/>
      <w:r w:rsidRPr="00C95F78">
        <w:rPr>
          <w:rFonts w:asciiTheme="minorHAnsi" w:hAnsiTheme="minorHAnsi"/>
          <w:color w:val="365F91" w:themeColor="accent1" w:themeShade="BF"/>
          <w:sz w:val="30"/>
          <w:szCs w:val="30"/>
        </w:rPr>
        <w:t>Looking at the Big Picture</w:t>
      </w:r>
      <w:bookmarkEnd w:id="5"/>
    </w:p>
    <w:p w:rsidR="005A48E2" w:rsidRPr="00C95F78" w:rsidRDefault="005A48E2" w:rsidP="00BB1A5E">
      <w:pPr>
        <w:spacing w:after="0" w:line="240" w:lineRule="auto"/>
        <w:contextualSpacing/>
        <w:jc w:val="both"/>
      </w:pPr>
    </w:p>
    <w:p w:rsidR="005A48E2" w:rsidRPr="00C95F78" w:rsidRDefault="00492B8E" w:rsidP="00BB1A5E">
      <w:pPr>
        <w:spacing w:after="0" w:line="240" w:lineRule="auto"/>
        <w:contextualSpacing/>
        <w:jc w:val="both"/>
      </w:pPr>
      <w:r w:rsidRPr="00C95F78">
        <w:t xml:space="preserve">While changes in technology and taste are important in creating new markets, the big changes in society overall are more so. </w:t>
      </w:r>
      <w:r w:rsidR="000355CD" w:rsidRPr="00C95F78">
        <w:t>At base, the big changes in the material world fall out of the needs and aspirations of society as a whole. In a static world, where needs and aspirations stay constant, this wouldn’t tell us very much</w:t>
      </w:r>
      <w:r w:rsidR="00331861" w:rsidRPr="00C95F78">
        <w:t xml:space="preserve">, as the products </w:t>
      </w:r>
      <w:r w:rsidR="008240DA" w:rsidRPr="00C95F78">
        <w:t xml:space="preserve">that </w:t>
      </w:r>
      <w:r w:rsidR="00331861" w:rsidRPr="00C95F78">
        <w:t xml:space="preserve">society requires wouldn’t change much in rationale, </w:t>
      </w:r>
      <w:r w:rsidR="008240DA" w:rsidRPr="00C95F78">
        <w:t xml:space="preserve">but </w:t>
      </w:r>
      <w:r w:rsidR="00331861" w:rsidRPr="00C95F78">
        <w:t>only in form.</w:t>
      </w:r>
    </w:p>
    <w:p w:rsidR="005A48E2" w:rsidRPr="00C95F78" w:rsidRDefault="005A48E2" w:rsidP="00BB1A5E">
      <w:pPr>
        <w:spacing w:after="0" w:line="240" w:lineRule="auto"/>
        <w:contextualSpacing/>
        <w:jc w:val="both"/>
      </w:pPr>
    </w:p>
    <w:p w:rsidR="005A48E2" w:rsidRPr="00C95F78" w:rsidRDefault="00331861" w:rsidP="00BB1A5E">
      <w:pPr>
        <w:spacing w:after="0" w:line="240" w:lineRule="auto"/>
        <w:contextualSpacing/>
        <w:jc w:val="both"/>
      </w:pPr>
      <w:r w:rsidRPr="00C95F78">
        <w:t xml:space="preserve">Now, however, we are in a changing world, and this has important implications for copper (as indicated in </w:t>
      </w:r>
      <w:r w:rsidR="003C7AEB">
        <w:fldChar w:fldCharType="begin"/>
      </w:r>
      <w:r w:rsidR="003C7AEB">
        <w:instrText xml:space="preserve"> REF _Ref262544900 \h  \* MERGEFORMAT </w:instrText>
      </w:r>
      <w:r w:rsidR="003C7AEB">
        <w:fldChar w:fldCharType="separate"/>
      </w:r>
      <w:r w:rsidR="0005759A" w:rsidRPr="0005759A">
        <w:t>Figure 1</w:t>
      </w:r>
      <w:r w:rsidR="003C7AEB">
        <w:fldChar w:fldCharType="end"/>
      </w:r>
      <w:r w:rsidRPr="00C95F78">
        <w:t xml:space="preserve"> to </w:t>
      </w:r>
      <w:r w:rsidR="003C7AEB">
        <w:fldChar w:fldCharType="begin"/>
      </w:r>
      <w:r w:rsidR="003C7AEB">
        <w:instrText xml:space="preserve"> REF _Ref262558220 \h  \* MERGEFORMAT </w:instrText>
      </w:r>
      <w:r w:rsidR="003C7AEB">
        <w:fldChar w:fldCharType="separate"/>
      </w:r>
      <w:r w:rsidR="0005759A" w:rsidRPr="0005759A">
        <w:t>Figure 4</w:t>
      </w:r>
      <w:r w:rsidR="003C7AEB">
        <w:fldChar w:fldCharType="end"/>
      </w:r>
      <w:r w:rsidRPr="00C95F78">
        <w:t xml:space="preserve">). The </w:t>
      </w:r>
      <w:r w:rsidR="009452B7" w:rsidRPr="00C95F78">
        <w:t>underlying human need for survival (both as a whole and individually)</w:t>
      </w:r>
      <w:r w:rsidR="008240DA" w:rsidRPr="00C95F78">
        <w:t>,</w:t>
      </w:r>
      <w:r w:rsidR="009452B7" w:rsidRPr="00C95F78">
        <w:t xml:space="preserve"> and for security, is being interpreted in new ways. The big change is in the energy economy. Society as a whole has come to realise that it cannot continue pumping out greenhouse gases and expect life to continue as normal. We </w:t>
      </w:r>
      <w:r w:rsidR="008240DA" w:rsidRPr="00C95F78">
        <w:t>have</w:t>
      </w:r>
      <w:r w:rsidR="009452B7" w:rsidRPr="00C95F78">
        <w:t xml:space="preserve"> to change the way we think about using energy, which in</w:t>
      </w:r>
      <w:r w:rsidR="006F6D24" w:rsidRPr="00C95F78">
        <w:t xml:space="preserve"> turn influences the way we run</w:t>
      </w:r>
      <w:r w:rsidR="009452B7" w:rsidRPr="00C95F78">
        <w:t xml:space="preserve"> our lives.</w:t>
      </w:r>
    </w:p>
    <w:p w:rsidR="005A48E2" w:rsidRPr="00C95F78" w:rsidRDefault="005A48E2" w:rsidP="00BB1A5E">
      <w:pPr>
        <w:spacing w:after="0" w:line="240" w:lineRule="auto"/>
        <w:contextualSpacing/>
        <w:jc w:val="both"/>
      </w:pPr>
    </w:p>
    <w:p w:rsidR="005A48E2" w:rsidRPr="00C95F78" w:rsidRDefault="009452B7" w:rsidP="00BB1A5E">
      <w:pPr>
        <w:spacing w:after="0" w:line="240" w:lineRule="auto"/>
        <w:contextualSpacing/>
        <w:jc w:val="both"/>
      </w:pPr>
      <w:r w:rsidRPr="00C95F78">
        <w:t>Not only is the energy issue critical from an environment point of view, it is also a crucial security issue. Countries of the West ar</w:t>
      </w:r>
      <w:r w:rsidR="00E06E3A" w:rsidRPr="00C95F78">
        <w:t>e</w:t>
      </w:r>
      <w:r w:rsidRPr="00C95F78">
        <w:t xml:space="preserve"> hugely concerned over the </w:t>
      </w:r>
      <w:r w:rsidR="00E06E3A" w:rsidRPr="00C95F78">
        <w:t xml:space="preserve">political and economic </w:t>
      </w:r>
      <w:r w:rsidRPr="00C95F78">
        <w:t xml:space="preserve">power </w:t>
      </w:r>
      <w:r w:rsidR="00E06E3A" w:rsidRPr="00C95F78">
        <w:t xml:space="preserve">vested in the countries </w:t>
      </w:r>
      <w:r w:rsidRPr="00C95F78">
        <w:t xml:space="preserve">that </w:t>
      </w:r>
      <w:r w:rsidR="00E06E3A" w:rsidRPr="00C95F78">
        <w:t xml:space="preserve">have large hydrocarbon resources, especially as they become depleted elsewhere. </w:t>
      </w:r>
      <w:r w:rsidR="00492B8E" w:rsidRPr="00C95F78">
        <w:t>The security concern is putting a premium on locally produced energy, even where the cost may be greater than imported energy.</w:t>
      </w:r>
    </w:p>
    <w:p w:rsidR="005A48E2" w:rsidRPr="00C95F78" w:rsidRDefault="005A48E2" w:rsidP="00BB1A5E">
      <w:pPr>
        <w:spacing w:after="0" w:line="240" w:lineRule="auto"/>
        <w:contextualSpacing/>
        <w:jc w:val="both"/>
      </w:pPr>
    </w:p>
    <w:p w:rsidR="005A48E2" w:rsidRPr="00C95F78" w:rsidRDefault="00E06E3A" w:rsidP="00BB1A5E">
      <w:pPr>
        <w:spacing w:after="0" w:line="240" w:lineRule="auto"/>
        <w:contextualSpacing/>
        <w:jc w:val="both"/>
      </w:pPr>
      <w:r w:rsidRPr="00C95F78">
        <w:t xml:space="preserve">Growing wealth, together with the advent of global terrorism, has led to a rather different interpretation of the needs for security and survival than formerly. Surveillance and security systems are rapidly increasing in their use is one manifestation. Another is health concern, which is greatly affecting what we expect of products, systems and </w:t>
      </w:r>
      <w:r w:rsidR="006F6D24" w:rsidRPr="00C95F78">
        <w:t xml:space="preserve">the </w:t>
      </w:r>
      <w:r w:rsidRPr="00C95F78">
        <w:t>services we use, especially the medical services.</w:t>
      </w:r>
    </w:p>
    <w:p w:rsidR="005A48E2" w:rsidRPr="00C95F78" w:rsidRDefault="005A48E2" w:rsidP="00BB1A5E">
      <w:pPr>
        <w:spacing w:after="0" w:line="240" w:lineRule="auto"/>
        <w:contextualSpacing/>
        <w:jc w:val="both"/>
      </w:pPr>
    </w:p>
    <w:p w:rsidR="005A48E2" w:rsidRPr="00C95F78" w:rsidRDefault="00E06E3A" w:rsidP="00BB1A5E">
      <w:pPr>
        <w:spacing w:after="0" w:line="240" w:lineRule="auto"/>
        <w:contextualSpacing/>
        <w:jc w:val="both"/>
      </w:pPr>
      <w:r w:rsidRPr="00C95F78">
        <w:t xml:space="preserve">In </w:t>
      </w:r>
      <w:r w:rsidR="003C7AEB">
        <w:fldChar w:fldCharType="begin"/>
      </w:r>
      <w:r w:rsidR="003C7AEB">
        <w:instrText xml:space="preserve"> REF _Ref262544900 \h  \* MERGEFORMAT </w:instrText>
      </w:r>
      <w:r w:rsidR="003C7AEB">
        <w:fldChar w:fldCharType="separate"/>
      </w:r>
      <w:r w:rsidR="0005759A" w:rsidRPr="0005759A">
        <w:t>Figure</w:t>
      </w:r>
      <w:r w:rsidR="0005759A" w:rsidRPr="00C95F78">
        <w:rPr>
          <w:sz w:val="28"/>
          <w:szCs w:val="28"/>
        </w:rPr>
        <w:t xml:space="preserve"> </w:t>
      </w:r>
      <w:r w:rsidR="0005759A" w:rsidRPr="0005759A">
        <w:rPr>
          <w:sz w:val="28"/>
          <w:szCs w:val="28"/>
        </w:rPr>
        <w:t>1</w:t>
      </w:r>
      <w:r w:rsidR="003C7AEB">
        <w:fldChar w:fldCharType="end"/>
      </w:r>
      <w:r w:rsidR="00FD0A79" w:rsidRPr="00C95F78">
        <w:t>, we indicate</w:t>
      </w:r>
      <w:r w:rsidRPr="00C95F78">
        <w:t xml:space="preserve"> </w:t>
      </w:r>
      <w:r w:rsidR="00492B8E" w:rsidRPr="00C95F78">
        <w:t>that the</w:t>
      </w:r>
      <w:r w:rsidR="001F10F9" w:rsidRPr="00C95F78">
        <w:t xml:space="preserve"> aspiration</w:t>
      </w:r>
      <w:r w:rsidR="00492B8E" w:rsidRPr="00C95F78">
        <w:t>s of society overall and of individuals within it feed into</w:t>
      </w:r>
      <w:r w:rsidR="008864B6" w:rsidRPr="00C95F78">
        <w:t xml:space="preserve"> our</w:t>
      </w:r>
      <w:r w:rsidR="001F10F9" w:rsidRPr="00C95F78">
        <w:t xml:space="preserve"> model </w:t>
      </w:r>
      <w:r w:rsidR="000D59E5" w:rsidRPr="00C95F78">
        <w:t xml:space="preserve">as </w:t>
      </w:r>
      <w:r w:rsidR="008864B6" w:rsidRPr="00C95F78">
        <w:t>well as</w:t>
      </w:r>
      <w:r w:rsidR="000D59E5" w:rsidRPr="00C95F78">
        <w:t xml:space="preserve"> society need</w:t>
      </w:r>
      <w:r w:rsidR="008864B6" w:rsidRPr="00C95F78">
        <w:t>s</w:t>
      </w:r>
      <w:r w:rsidR="001F10F9" w:rsidRPr="00C95F78">
        <w:t xml:space="preserve">. </w:t>
      </w:r>
      <w:r w:rsidR="006F6D24" w:rsidRPr="00C95F78">
        <w:t>While sometimes equally important, the recent changes in this driver have been less dramatic. We are still driven by</w:t>
      </w:r>
      <w:r w:rsidR="001F10F9" w:rsidRPr="00C95F78">
        <w:t xml:space="preserve"> the desire for personal wealth, comfort and stimulation. The implications in today’s world are somewhat different from the past, however, as technology alters how we can address our aspirations, and growing wealth our ability to do so. </w:t>
      </w:r>
    </w:p>
    <w:p w:rsidR="005A48E2" w:rsidRPr="00C95F78" w:rsidRDefault="005A48E2" w:rsidP="00BB1A5E">
      <w:pPr>
        <w:spacing w:after="0" w:line="240" w:lineRule="auto"/>
        <w:contextualSpacing/>
        <w:jc w:val="both"/>
      </w:pPr>
    </w:p>
    <w:p w:rsidR="0075622E" w:rsidRPr="00C95F78" w:rsidRDefault="001F10F9" w:rsidP="00BB1A5E">
      <w:pPr>
        <w:spacing w:after="0" w:line="240" w:lineRule="auto"/>
        <w:contextualSpacing/>
        <w:jc w:val="both"/>
        <w:sectPr w:rsidR="0075622E" w:rsidRPr="00C95F78" w:rsidSect="0075622E">
          <w:pgSz w:w="11906" w:h="16838" w:code="9"/>
          <w:pgMar w:top="1474" w:right="1361" w:bottom="1247" w:left="1361" w:header="709" w:footer="709" w:gutter="0"/>
          <w:pgNumType w:fmt="numberInDash" w:start="1"/>
          <w:cols w:space="708"/>
          <w:titlePg/>
          <w:docGrid w:linePitch="360"/>
        </w:sectPr>
      </w:pPr>
      <w:r w:rsidRPr="00C95F78">
        <w:t xml:space="preserve">Overlaid on the issues covered so far, we need to consider demographics and the distribution of wealth. The global population is growing, most of it in poorer </w:t>
      </w:r>
      <w:r w:rsidR="00DD0E9D" w:rsidRPr="00C95F78">
        <w:t>countries</w:t>
      </w:r>
      <w:r w:rsidRPr="00C95F78">
        <w:t xml:space="preserve">. Population growth is putting severe strains on water supply in many parts of the world, and this is a much more immediate survival issue than global warning for much of the world’s population. On the other hand, a faster rate of </w:t>
      </w:r>
      <w:r w:rsidR="00DD0E9D" w:rsidRPr="00C95F78">
        <w:br/>
      </w:r>
    </w:p>
    <w:p w:rsidR="005A48E2" w:rsidRPr="00C95F78" w:rsidRDefault="0075622E" w:rsidP="00BB1A5E">
      <w:pPr>
        <w:pStyle w:val="Caption"/>
        <w:spacing w:after="0"/>
        <w:contextualSpacing/>
        <w:jc w:val="center"/>
        <w:rPr>
          <w:sz w:val="28"/>
          <w:szCs w:val="28"/>
        </w:rPr>
      </w:pPr>
      <w:bookmarkStart w:id="6" w:name="_Ref262544900"/>
      <w:bookmarkStart w:id="7" w:name="_Toc26367165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w:t>
      </w:r>
      <w:r w:rsidR="00D50FDC" w:rsidRPr="00C95F78">
        <w:rPr>
          <w:sz w:val="28"/>
          <w:szCs w:val="28"/>
        </w:rPr>
        <w:fldChar w:fldCharType="end"/>
      </w:r>
      <w:bookmarkEnd w:id="6"/>
      <w:r w:rsidRPr="00C95F78">
        <w:rPr>
          <w:sz w:val="28"/>
          <w:szCs w:val="28"/>
        </w:rPr>
        <w:t>: Society Goals and How They Affect Emerging Markets for Copper (1)</w:t>
      </w:r>
      <w:bookmarkEnd w:id="7"/>
    </w:p>
    <w:p w:rsidR="004D6789" w:rsidRPr="00C95F78" w:rsidRDefault="0075622E" w:rsidP="00BB1A5E">
      <w:pPr>
        <w:spacing w:line="240" w:lineRule="auto"/>
        <w:jc w:val="center"/>
        <w:rPr>
          <w:b/>
          <w:i/>
          <w:color w:val="4F81BD" w:themeColor="accent1"/>
          <w:sz w:val="24"/>
          <w:szCs w:val="24"/>
        </w:rPr>
      </w:pPr>
      <w:r w:rsidRPr="00C95F78">
        <w:rPr>
          <w:b/>
          <w:i/>
          <w:color w:val="4F81BD" w:themeColor="accent1"/>
          <w:sz w:val="24"/>
          <w:szCs w:val="24"/>
        </w:rPr>
        <w:t>Society Goals – Energy and Survival</w:t>
      </w:r>
    </w:p>
    <w:p w:rsidR="0075622E" w:rsidRPr="00C95F78" w:rsidRDefault="0075622E" w:rsidP="00BB1A5E">
      <w:pPr>
        <w:spacing w:after="0" w:line="240" w:lineRule="auto"/>
        <w:contextualSpacing/>
        <w:jc w:val="both"/>
      </w:pPr>
      <w:r w:rsidRPr="00C95F78">
        <w:rPr>
          <w:noProof/>
          <w:lang w:val="en-US"/>
        </w:rPr>
        <w:drawing>
          <wp:inline distT="0" distB="0" distL="0" distR="0">
            <wp:extent cx="8964295" cy="4556296"/>
            <wp:effectExtent l="19050" t="0" r="0" b="0"/>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964295" cy="455629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6A5F5A" w:rsidRDefault="006A5F5A" w:rsidP="00BB1A5E">
      <w:pPr>
        <w:spacing w:line="240" w:lineRule="auto"/>
        <w:jc w:val="both"/>
      </w:pPr>
      <w:r>
        <w:br w:type="page"/>
      </w:r>
    </w:p>
    <w:p w:rsidR="005A48E2" w:rsidRPr="00C95F78" w:rsidRDefault="0075622E" w:rsidP="00BB1A5E">
      <w:pPr>
        <w:pStyle w:val="Caption"/>
        <w:spacing w:after="0"/>
        <w:contextualSpacing/>
        <w:jc w:val="center"/>
        <w:rPr>
          <w:sz w:val="28"/>
          <w:szCs w:val="28"/>
        </w:rPr>
      </w:pPr>
      <w:bookmarkStart w:id="8" w:name="_Toc26367165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w:t>
      </w:r>
      <w:r w:rsidR="00D50FDC" w:rsidRPr="00C95F78">
        <w:rPr>
          <w:sz w:val="28"/>
          <w:szCs w:val="28"/>
        </w:rPr>
        <w:fldChar w:fldCharType="end"/>
      </w:r>
      <w:r w:rsidRPr="00C95F78">
        <w:rPr>
          <w:sz w:val="28"/>
          <w:szCs w:val="28"/>
        </w:rPr>
        <w:t>: Society Goals and How They Affect Emerging Markets for Copper (2)</w:t>
      </w:r>
      <w:bookmarkEnd w:id="8"/>
    </w:p>
    <w:p w:rsidR="005A48E2" w:rsidRPr="00C95F78" w:rsidRDefault="0075622E" w:rsidP="00BB1A5E">
      <w:pPr>
        <w:spacing w:after="0" w:line="240" w:lineRule="auto"/>
        <w:jc w:val="center"/>
        <w:rPr>
          <w:b/>
          <w:i/>
          <w:color w:val="4F81BD" w:themeColor="accent1"/>
          <w:sz w:val="24"/>
          <w:szCs w:val="24"/>
        </w:rPr>
      </w:pPr>
      <w:r w:rsidRPr="00C95F78">
        <w:rPr>
          <w:b/>
          <w:i/>
          <w:color w:val="4F81BD" w:themeColor="accent1"/>
          <w:sz w:val="24"/>
          <w:szCs w:val="24"/>
        </w:rPr>
        <w:t>Energy and Survival – Sector Implications of Energy Goals</w:t>
      </w:r>
    </w:p>
    <w:p w:rsidR="005A48E2" w:rsidRPr="00C95F78" w:rsidRDefault="005A48E2" w:rsidP="00BB1A5E">
      <w:pPr>
        <w:spacing w:after="0" w:line="240" w:lineRule="auto"/>
        <w:jc w:val="both"/>
        <w:rPr>
          <w:b/>
          <w:i/>
          <w:color w:val="4F81BD" w:themeColor="accent1"/>
          <w:sz w:val="24"/>
          <w:szCs w:val="24"/>
        </w:rPr>
      </w:pPr>
    </w:p>
    <w:p w:rsidR="005A48E2" w:rsidRPr="00C95F78" w:rsidRDefault="0075622E" w:rsidP="00BB1A5E">
      <w:pPr>
        <w:spacing w:after="0" w:line="240" w:lineRule="auto"/>
        <w:jc w:val="both"/>
        <w:rPr>
          <w:b/>
          <w:i/>
          <w:color w:val="4F81BD" w:themeColor="accent1"/>
          <w:sz w:val="4"/>
          <w:szCs w:val="4"/>
        </w:rPr>
      </w:pPr>
      <w:r w:rsidRPr="00C95F78">
        <w:rPr>
          <w:noProof/>
          <w:szCs w:val="4"/>
          <w:lang w:val="en-US"/>
        </w:rPr>
        <w:drawing>
          <wp:inline distT="0" distB="0" distL="0" distR="0">
            <wp:extent cx="8964295" cy="5161880"/>
            <wp:effectExtent l="19050" t="0" r="0" b="0"/>
            <wp:docPr id="1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8964295" cy="5161880"/>
                    </a:xfrm>
                    <a:prstGeom prst="rect">
                      <a:avLst/>
                    </a:prstGeom>
                    <a:noFill/>
                    <a:ln w="9525">
                      <a:noFill/>
                      <a:miter lim="800000"/>
                      <a:headEnd/>
                      <a:tailEnd/>
                    </a:ln>
                  </pic:spPr>
                </pic:pic>
              </a:graphicData>
            </a:graphic>
          </wp:inline>
        </w:drawing>
      </w:r>
      <w:r w:rsidR="007D26AA" w:rsidRPr="00C95F78">
        <w:rPr>
          <w:sz w:val="28"/>
          <w:szCs w:val="28"/>
        </w:rPr>
        <w:br w:type="page"/>
      </w:r>
    </w:p>
    <w:p w:rsidR="005A48E2" w:rsidRPr="00C95F78" w:rsidRDefault="0075622E" w:rsidP="00BB1A5E">
      <w:pPr>
        <w:pStyle w:val="Caption"/>
        <w:spacing w:after="0"/>
        <w:contextualSpacing/>
        <w:jc w:val="center"/>
        <w:rPr>
          <w:sz w:val="28"/>
          <w:szCs w:val="28"/>
        </w:rPr>
      </w:pPr>
      <w:bookmarkStart w:id="9" w:name="_Toc26367165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w:t>
      </w:r>
      <w:r w:rsidR="00D50FDC" w:rsidRPr="00C95F78">
        <w:rPr>
          <w:sz w:val="28"/>
          <w:szCs w:val="28"/>
        </w:rPr>
        <w:fldChar w:fldCharType="end"/>
      </w:r>
      <w:r w:rsidRPr="00C95F78">
        <w:rPr>
          <w:sz w:val="28"/>
          <w:szCs w:val="28"/>
        </w:rPr>
        <w:t>: Society Goals and How They Affect Emerging Markets for Copper (3)</w:t>
      </w:r>
      <w:bookmarkEnd w:id="9"/>
    </w:p>
    <w:p w:rsidR="005A48E2" w:rsidRPr="00C95F78" w:rsidRDefault="0075622E" w:rsidP="00BB1A5E">
      <w:pPr>
        <w:spacing w:line="240" w:lineRule="auto"/>
        <w:jc w:val="center"/>
        <w:rPr>
          <w:b/>
          <w:i/>
          <w:color w:val="4F81BD" w:themeColor="accent1"/>
          <w:sz w:val="24"/>
          <w:szCs w:val="24"/>
        </w:rPr>
      </w:pPr>
      <w:r w:rsidRPr="00C95F78">
        <w:rPr>
          <w:b/>
          <w:i/>
          <w:color w:val="4F81BD" w:themeColor="accent1"/>
          <w:sz w:val="24"/>
          <w:szCs w:val="24"/>
        </w:rPr>
        <w:t>Sector Implications of Energy Goals- Copper Using Elements to Reach Goals</w:t>
      </w:r>
    </w:p>
    <w:p w:rsidR="005A48E2" w:rsidRPr="00C95F78" w:rsidRDefault="005A48E2" w:rsidP="00BB1A5E">
      <w:pPr>
        <w:spacing w:after="0" w:line="240" w:lineRule="auto"/>
        <w:jc w:val="both"/>
        <w:rPr>
          <w:b/>
          <w:i/>
          <w:color w:val="4F81BD" w:themeColor="accent1"/>
          <w:sz w:val="4"/>
          <w:szCs w:val="4"/>
        </w:rPr>
      </w:pPr>
    </w:p>
    <w:p w:rsidR="005A48E2" w:rsidRPr="00C95F78" w:rsidRDefault="005A48E2" w:rsidP="00BB1A5E">
      <w:pPr>
        <w:spacing w:after="0" w:line="240" w:lineRule="auto"/>
        <w:jc w:val="both"/>
        <w:rPr>
          <w:b/>
          <w:i/>
          <w:color w:val="4F81BD" w:themeColor="accent1"/>
          <w:sz w:val="4"/>
          <w:szCs w:val="4"/>
        </w:rPr>
      </w:pPr>
    </w:p>
    <w:p w:rsidR="005A48E2" w:rsidRPr="00C95F78" w:rsidRDefault="0075622E" w:rsidP="00BB1A5E">
      <w:pPr>
        <w:spacing w:after="0" w:line="240" w:lineRule="auto"/>
        <w:jc w:val="both"/>
        <w:rPr>
          <w:b/>
          <w:i/>
          <w:color w:val="4F81BD" w:themeColor="accent1"/>
          <w:sz w:val="4"/>
          <w:szCs w:val="4"/>
        </w:rPr>
      </w:pPr>
      <w:r w:rsidRPr="00C95F78">
        <w:rPr>
          <w:noProof/>
          <w:szCs w:val="4"/>
          <w:lang w:val="en-US"/>
        </w:rPr>
        <w:drawing>
          <wp:inline distT="0" distB="0" distL="0" distR="0">
            <wp:extent cx="8964295" cy="5161880"/>
            <wp:effectExtent l="19050" t="0" r="8255" b="0"/>
            <wp:docPr id="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8964295" cy="5161880"/>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jc w:val="both"/>
        <w:rPr>
          <w:b/>
          <w:i/>
          <w:color w:val="4F81BD" w:themeColor="accent1"/>
          <w:sz w:val="4"/>
          <w:szCs w:val="4"/>
        </w:rPr>
      </w:pPr>
    </w:p>
    <w:p w:rsidR="005A48E2" w:rsidRPr="00C95F78" w:rsidRDefault="005A48E2" w:rsidP="00BB1A5E">
      <w:pPr>
        <w:spacing w:after="0" w:line="240" w:lineRule="auto"/>
        <w:jc w:val="both"/>
        <w:rPr>
          <w:b/>
          <w:i/>
          <w:color w:val="4F81BD" w:themeColor="accent1"/>
          <w:sz w:val="4"/>
          <w:szCs w:val="4"/>
        </w:rPr>
      </w:pPr>
    </w:p>
    <w:p w:rsidR="005A48E2" w:rsidRPr="00C95F78" w:rsidRDefault="005A48E2" w:rsidP="00BB1A5E">
      <w:pPr>
        <w:spacing w:after="0" w:line="240" w:lineRule="auto"/>
        <w:jc w:val="both"/>
        <w:rPr>
          <w:b/>
          <w:i/>
          <w:color w:val="4F81BD" w:themeColor="accent1"/>
          <w:sz w:val="4"/>
          <w:szCs w:val="4"/>
        </w:rPr>
      </w:pPr>
    </w:p>
    <w:p w:rsidR="005A48E2" w:rsidRPr="00C95F78" w:rsidRDefault="005A48E2" w:rsidP="00BB1A5E">
      <w:pPr>
        <w:spacing w:after="0" w:line="240" w:lineRule="auto"/>
        <w:jc w:val="both"/>
        <w:rPr>
          <w:b/>
          <w:i/>
          <w:color w:val="4F81BD" w:themeColor="accent1"/>
          <w:sz w:val="4"/>
          <w:szCs w:val="4"/>
        </w:rPr>
      </w:pPr>
    </w:p>
    <w:p w:rsidR="005A48E2" w:rsidRPr="00C95F78" w:rsidRDefault="0075622E" w:rsidP="00BB1A5E">
      <w:pPr>
        <w:pStyle w:val="Caption"/>
        <w:spacing w:after="0"/>
        <w:contextualSpacing/>
        <w:jc w:val="center"/>
        <w:rPr>
          <w:sz w:val="28"/>
          <w:szCs w:val="28"/>
        </w:rPr>
      </w:pPr>
      <w:bookmarkStart w:id="10" w:name="_Ref262558220"/>
      <w:bookmarkStart w:id="11" w:name="_Toc26367165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w:t>
      </w:r>
      <w:r w:rsidR="00D50FDC" w:rsidRPr="00C95F78">
        <w:rPr>
          <w:sz w:val="28"/>
          <w:szCs w:val="28"/>
        </w:rPr>
        <w:fldChar w:fldCharType="end"/>
      </w:r>
      <w:bookmarkEnd w:id="10"/>
      <w:r w:rsidRPr="00C95F78">
        <w:rPr>
          <w:sz w:val="28"/>
          <w:szCs w:val="28"/>
        </w:rPr>
        <w:t>: Society Goals and How They Affect Emerging Markets for Copper (4)</w:t>
      </w:r>
      <w:bookmarkEnd w:id="11"/>
    </w:p>
    <w:p w:rsidR="005A48E2" w:rsidRPr="00C95F78" w:rsidRDefault="0075622E" w:rsidP="00BB1A5E">
      <w:pPr>
        <w:spacing w:after="60" w:line="240" w:lineRule="auto"/>
        <w:jc w:val="center"/>
        <w:rPr>
          <w:b/>
          <w:i/>
          <w:color w:val="4F81BD" w:themeColor="accent1"/>
          <w:sz w:val="24"/>
          <w:szCs w:val="24"/>
        </w:rPr>
      </w:pPr>
      <w:r w:rsidRPr="00C95F78">
        <w:rPr>
          <w:b/>
          <w:i/>
          <w:color w:val="4F81BD" w:themeColor="accent1"/>
          <w:sz w:val="24"/>
          <w:szCs w:val="24"/>
        </w:rPr>
        <w:t>Copper Using Elements to Reach Goals – Identified Market Opportunities</w:t>
      </w:r>
    </w:p>
    <w:p w:rsidR="005A48E2" w:rsidRPr="00C95F78" w:rsidRDefault="005A48E2" w:rsidP="00BB1A5E">
      <w:pPr>
        <w:spacing w:after="0" w:line="240" w:lineRule="auto"/>
        <w:contextualSpacing/>
        <w:jc w:val="both"/>
        <w:rPr>
          <w:sz w:val="4"/>
          <w:szCs w:val="4"/>
        </w:rPr>
      </w:pPr>
    </w:p>
    <w:p w:rsidR="005A48E2" w:rsidRPr="00C95F78" w:rsidRDefault="00AB19DA" w:rsidP="00BB1A5E">
      <w:pPr>
        <w:spacing w:after="0" w:line="240" w:lineRule="auto"/>
        <w:contextualSpacing/>
        <w:jc w:val="both"/>
        <w:rPr>
          <w:sz w:val="4"/>
          <w:szCs w:val="4"/>
        </w:rPr>
      </w:pPr>
      <w:r w:rsidRPr="00C95F78">
        <w:rPr>
          <w:noProof/>
          <w:sz w:val="4"/>
          <w:szCs w:val="4"/>
          <w:lang w:val="en-US"/>
        </w:rPr>
        <w:drawing>
          <wp:inline distT="0" distB="0" distL="0" distR="0">
            <wp:extent cx="8964295" cy="5129029"/>
            <wp:effectExtent l="19050" t="0" r="8255" b="0"/>
            <wp:docPr id="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8964295" cy="5129029"/>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sz w:val="4"/>
          <w:szCs w:val="4"/>
        </w:rPr>
      </w:pPr>
    </w:p>
    <w:p w:rsidR="005A48E2" w:rsidRPr="00C95F78" w:rsidRDefault="005A48E2" w:rsidP="00BB1A5E">
      <w:pPr>
        <w:spacing w:after="0" w:line="240" w:lineRule="auto"/>
        <w:contextualSpacing/>
        <w:jc w:val="both"/>
        <w:rPr>
          <w:sz w:val="4"/>
          <w:szCs w:val="4"/>
        </w:rPr>
      </w:pPr>
    </w:p>
    <w:p w:rsidR="005A48E2" w:rsidRPr="00C95F78" w:rsidRDefault="005A48E2" w:rsidP="00BB1A5E">
      <w:pPr>
        <w:spacing w:after="0" w:line="240" w:lineRule="auto"/>
        <w:contextualSpacing/>
        <w:jc w:val="both"/>
        <w:rPr>
          <w:sz w:val="4"/>
          <w:szCs w:val="4"/>
        </w:rPr>
      </w:pPr>
    </w:p>
    <w:p w:rsidR="00AB19DA" w:rsidRPr="00C95F78" w:rsidRDefault="00AB19DA" w:rsidP="00BB1A5E">
      <w:pPr>
        <w:spacing w:after="0" w:line="240" w:lineRule="auto"/>
        <w:contextualSpacing/>
        <w:jc w:val="both"/>
        <w:rPr>
          <w:sz w:val="4"/>
          <w:szCs w:val="4"/>
        </w:rPr>
        <w:sectPr w:rsidR="00AB19DA" w:rsidRPr="00C95F78" w:rsidSect="006A5F5A">
          <w:pgSz w:w="16838" w:h="11906" w:orient="landscape" w:code="9"/>
          <w:pgMar w:top="1361" w:right="1474" w:bottom="1361" w:left="1247" w:header="709" w:footer="709" w:gutter="0"/>
          <w:pgNumType w:fmt="numberInDash" w:start="7"/>
          <w:cols w:space="708"/>
          <w:titlePg/>
          <w:docGrid w:linePitch="360"/>
        </w:sectPr>
      </w:pPr>
    </w:p>
    <w:p w:rsidR="005A48E2" w:rsidRPr="00C95F78" w:rsidRDefault="00DD0E9D" w:rsidP="00BB1A5E">
      <w:pPr>
        <w:spacing w:after="0" w:line="240" w:lineRule="auto"/>
        <w:contextualSpacing/>
        <w:jc w:val="both"/>
      </w:pPr>
      <w:r w:rsidRPr="00C95F78">
        <w:t>wealth growth in emerging Asia and elsewhere is fast creating a new middle class, with the disposable income to realise its aspirations like never before.</w:t>
      </w:r>
    </w:p>
    <w:p w:rsidR="005A48E2" w:rsidRPr="00C95F78" w:rsidRDefault="005A48E2" w:rsidP="00BB1A5E">
      <w:pPr>
        <w:spacing w:after="0" w:line="240" w:lineRule="auto"/>
        <w:jc w:val="both"/>
      </w:pPr>
    </w:p>
    <w:p w:rsidR="005A48E2" w:rsidRPr="00C95F78" w:rsidRDefault="007D26AA" w:rsidP="00BB1A5E">
      <w:pPr>
        <w:spacing w:after="0" w:line="240" w:lineRule="auto"/>
        <w:jc w:val="both"/>
      </w:pPr>
      <w:r w:rsidRPr="00C95F78">
        <w:t xml:space="preserve">In both rich and poor countries, the proportion of the population that is ageing is growing quickly, as people live longer and the birth rate is slowing. This has two implications. Firstly, survival and comfort objectives converge on the requirement for care for the elderly, in their </w:t>
      </w:r>
      <w:r w:rsidR="00DD0E9D" w:rsidRPr="00C95F78">
        <w:t>homes or elsewhere. Secondly, the trend</w:t>
      </w:r>
      <w:r w:rsidRPr="00C95F78">
        <w:t xml:space="preserve"> is reducing the size of the working population in relation to the total population, creating a growing need for automation of industrial processes.</w:t>
      </w:r>
    </w:p>
    <w:p w:rsidR="005A48E2" w:rsidRPr="00C95F78" w:rsidRDefault="005A48E2" w:rsidP="00BB1A5E">
      <w:pPr>
        <w:spacing w:after="0" w:line="240" w:lineRule="auto"/>
        <w:jc w:val="both"/>
      </w:pPr>
    </w:p>
    <w:p w:rsidR="005A48E2" w:rsidRPr="00C95F78" w:rsidRDefault="007D26AA" w:rsidP="00BB1A5E">
      <w:pPr>
        <w:spacing w:after="0" w:line="240" w:lineRule="auto"/>
        <w:jc w:val="both"/>
      </w:pPr>
      <w:r w:rsidRPr="00C95F78">
        <w:t>While these issues are i</w:t>
      </w:r>
      <w:r w:rsidR="00DD0E9D" w:rsidRPr="00C95F78">
        <w:t>mportant</w:t>
      </w:r>
      <w:r w:rsidRPr="00C95F78">
        <w:t xml:space="preserve">, the really big issue for society overall, and for </w:t>
      </w:r>
      <w:r w:rsidR="002B2606" w:rsidRPr="00C95F78">
        <w:t xml:space="preserve">electrical use of </w:t>
      </w:r>
      <w:r w:rsidRPr="00C95F78">
        <w:t xml:space="preserve">copper in particular, is the emerging energy economy. </w:t>
      </w:r>
      <w:r w:rsidR="002B2606" w:rsidRPr="00C95F78">
        <w:t xml:space="preserve">The key elements of this are the need for clean, sustainable and secure energy sources. This points in particular to </w:t>
      </w:r>
      <w:r w:rsidR="0074178D">
        <w:t>distributed</w:t>
      </w:r>
      <w:r w:rsidR="002B2606" w:rsidRPr="00C95F78">
        <w:t xml:space="preserve"> electricity generation using renewable and non-polluting energy sources. A very large proportion of new demand for copper comes directly from this. </w:t>
      </w:r>
    </w:p>
    <w:p w:rsidR="005A48E2" w:rsidRPr="00C95F78" w:rsidRDefault="005A48E2" w:rsidP="00BB1A5E">
      <w:pPr>
        <w:spacing w:after="0" w:line="240" w:lineRule="auto"/>
        <w:jc w:val="both"/>
      </w:pPr>
    </w:p>
    <w:p w:rsidR="005A48E2" w:rsidRPr="00C95F78" w:rsidRDefault="002B2606" w:rsidP="00BB1A5E">
      <w:pPr>
        <w:spacing w:after="0" w:line="240" w:lineRule="auto"/>
        <w:jc w:val="both"/>
      </w:pPr>
      <w:r w:rsidRPr="00C95F78">
        <w:t xml:space="preserve">Additionally, alternative fuels and systems are sought where at present hydrocarbons are burned directly, again based on the need for clean, sustainable and secure energy sourcing. The shift towards electric drive trains in road vehicles is the prime example. It should be remembered, however, that these vehicles are no cleaner and </w:t>
      </w:r>
      <w:r w:rsidR="00041287" w:rsidRPr="00C95F78">
        <w:t>their source of power no more sustainable or secure than the electricity that powers them.</w:t>
      </w:r>
    </w:p>
    <w:p w:rsidR="005A48E2" w:rsidRPr="00C95F78" w:rsidRDefault="005A48E2" w:rsidP="00BB1A5E">
      <w:pPr>
        <w:spacing w:after="0" w:line="240" w:lineRule="auto"/>
        <w:jc w:val="both"/>
      </w:pPr>
    </w:p>
    <w:p w:rsidR="005A48E2" w:rsidRPr="00C95F78" w:rsidRDefault="00041287" w:rsidP="00BB1A5E">
      <w:pPr>
        <w:spacing w:after="0" w:line="240" w:lineRule="auto"/>
        <w:jc w:val="both"/>
      </w:pPr>
      <w:r w:rsidRPr="00C95F78">
        <w:t>On the other side of the equation, as well as improving energy sourcing, we are seeing a focus on energy saving. Where this means ingraining energy efficient behaviour</w:t>
      </w:r>
      <w:r w:rsidR="00DD0E9D" w:rsidRPr="00C95F78">
        <w:t xml:space="preserve"> in our daily lives</w:t>
      </w:r>
      <w:r w:rsidRPr="00C95F78">
        <w:t>, the net result is not necessarily good for copper. Reducing the number of journeys taken by home-working, smart logistics and other means, for example, has a negative effect, as does demand side management of electricity use. On the positive side, we are seeing more st</w:t>
      </w:r>
      <w:r w:rsidR="00DD0E9D" w:rsidRPr="00C95F78">
        <w:t>ringent regulation of energy consumption</w:t>
      </w:r>
      <w:r w:rsidRPr="00C95F78">
        <w:t>, in particular motors and motor driven systems. This offers a huge potential for copper in efficient motors, and i</w:t>
      </w:r>
      <w:r w:rsidR="00A14C50" w:rsidRPr="00C95F78">
        <w:t>n energy management systems driven by electronics.</w:t>
      </w:r>
    </w:p>
    <w:p w:rsidR="005A48E2" w:rsidRPr="00C95F78" w:rsidRDefault="005A48E2" w:rsidP="00BB1A5E">
      <w:pPr>
        <w:spacing w:after="0" w:line="240" w:lineRule="auto"/>
        <w:jc w:val="both"/>
      </w:pPr>
    </w:p>
    <w:p w:rsidR="005A48E2" w:rsidRPr="00C95F78" w:rsidRDefault="00CE5971" w:rsidP="00BB1A5E">
      <w:pPr>
        <w:spacing w:after="0" w:line="240" w:lineRule="auto"/>
        <w:jc w:val="both"/>
      </w:pPr>
      <w:r w:rsidRPr="00C95F78">
        <w:t>Exactly how the new energy economy, and other need and aspiration driven factors impact on the material world in part depends on the technology that is available to realise society aims. New markets are almost always characterised by competing technologies, and it is not easy to determine which will be the winners or how fast will be their implementation. As alternative solutions have different copper contents, it is important for the copper industry to be involved so, in a small way at least, it is able to direct material use towards the high copper options.</w:t>
      </w:r>
    </w:p>
    <w:p w:rsidR="005A48E2" w:rsidRPr="00C95F78" w:rsidRDefault="005A48E2" w:rsidP="00BB1A5E">
      <w:pPr>
        <w:spacing w:after="0" w:line="240" w:lineRule="auto"/>
        <w:jc w:val="both"/>
      </w:pPr>
    </w:p>
    <w:p w:rsidR="004D6789" w:rsidRPr="00C95F78" w:rsidRDefault="00FB69BF"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2" w:name="_Toc263688567"/>
      <w:r w:rsidRPr="00C95F78">
        <w:rPr>
          <w:rFonts w:asciiTheme="minorHAnsi" w:hAnsiTheme="minorHAnsi"/>
          <w:color w:val="365F91" w:themeColor="accent1" w:themeShade="BF"/>
          <w:sz w:val="30"/>
          <w:szCs w:val="30"/>
        </w:rPr>
        <w:t>The Relationships Between the E</w:t>
      </w:r>
      <w:r w:rsidR="00CE5971" w:rsidRPr="00C95F78">
        <w:rPr>
          <w:rFonts w:asciiTheme="minorHAnsi" w:hAnsiTheme="minorHAnsi"/>
          <w:color w:val="365F91" w:themeColor="accent1" w:themeShade="BF"/>
          <w:sz w:val="30"/>
          <w:szCs w:val="30"/>
        </w:rPr>
        <w:t>merging Markets</w:t>
      </w:r>
      <w:bookmarkEnd w:id="12"/>
    </w:p>
    <w:p w:rsidR="005A48E2" w:rsidRPr="00C95F78" w:rsidRDefault="005A48E2" w:rsidP="00BB1A5E">
      <w:pPr>
        <w:spacing w:after="0" w:line="240" w:lineRule="auto"/>
        <w:jc w:val="both"/>
      </w:pPr>
    </w:p>
    <w:p w:rsidR="005A48E2" w:rsidRPr="00C95F78" w:rsidRDefault="00CE5971" w:rsidP="00BB1A5E">
      <w:pPr>
        <w:spacing w:after="0" w:line="240" w:lineRule="auto"/>
        <w:jc w:val="both"/>
      </w:pPr>
      <w:r w:rsidRPr="00C95F78">
        <w:t>In the above analysis we have identified how the changing objectives of society are impacting directly on copper-containing product</w:t>
      </w:r>
      <w:r w:rsidR="00DD0E9D" w:rsidRPr="00C95F78">
        <w:t>s</w:t>
      </w:r>
      <w:r w:rsidRPr="00C95F78">
        <w:t xml:space="preserve">, helping us to define where the emerging markets for copper will be. What may not be so clear is the close inter-relationship between the various new markets, i.e. </w:t>
      </w:r>
      <w:r w:rsidR="00BB1A5E">
        <w:t>t</w:t>
      </w:r>
      <w:r w:rsidRPr="00C95F78">
        <w:t>hey are mut</w:t>
      </w:r>
      <w:r w:rsidR="00FB69BF" w:rsidRPr="00C95F78">
        <w:t>ually supporting.</w:t>
      </w:r>
    </w:p>
    <w:p w:rsidR="005A48E2" w:rsidRPr="00C95F78" w:rsidRDefault="005A48E2" w:rsidP="00BB1A5E">
      <w:pPr>
        <w:spacing w:after="0" w:line="240" w:lineRule="auto"/>
        <w:jc w:val="both"/>
      </w:pPr>
    </w:p>
    <w:p w:rsidR="005A48E2" w:rsidRPr="00C95F78" w:rsidRDefault="00FB69BF" w:rsidP="00BB1A5E">
      <w:pPr>
        <w:spacing w:after="0" w:line="240" w:lineRule="auto"/>
        <w:jc w:val="both"/>
      </w:pPr>
      <w:r w:rsidRPr="00C95F78">
        <w:t xml:space="preserve">In </w:t>
      </w:r>
      <w:r w:rsidR="003C7AEB">
        <w:fldChar w:fldCharType="begin"/>
      </w:r>
      <w:r w:rsidR="003C7AEB">
        <w:instrText xml:space="preserve"> REF _Ref262289483 \h  \* MERGEFORMAT </w:instrText>
      </w:r>
      <w:r w:rsidR="003C7AEB">
        <w:fldChar w:fldCharType="separate"/>
      </w:r>
      <w:r w:rsidR="0005759A" w:rsidRPr="0005759A">
        <w:t>Figure 5</w:t>
      </w:r>
      <w:r w:rsidR="003C7AEB">
        <w:fldChar w:fldCharType="end"/>
      </w:r>
      <w:r w:rsidRPr="00C95F78">
        <w:t xml:space="preserve"> </w:t>
      </w:r>
      <w:r w:rsidR="00E30183" w:rsidRPr="00C95F78">
        <w:t>we show the interconnection between the energy infrastructure (generation, transmission and distribution), the premise market (including their internal infrastructure and equipment attached to that infrastructure) and transport. With premise-based charging of electric vehicles, for example, the internal premise infrastructure wil</w:t>
      </w:r>
      <w:r w:rsidR="00DD0E9D" w:rsidRPr="00C95F78">
        <w:t>l have to be adapted</w:t>
      </w:r>
      <w:r w:rsidR="00E30183" w:rsidRPr="00C95F78">
        <w:t>, which in turn impacts directly on the requirements placed on the external electricity infrastructure. As the plug-in vehicle</w:t>
      </w:r>
      <w:r w:rsidR="007C0DA6" w:rsidRPr="00C95F78">
        <w:t>s</w:t>
      </w:r>
      <w:r w:rsidR="00E30183" w:rsidRPr="00C95F78">
        <w:t xml:space="preserve"> and the el</w:t>
      </w:r>
      <w:r w:rsidR="00DD0E9D" w:rsidRPr="00C95F78">
        <w:t>ectricity infrastructure become</w:t>
      </w:r>
      <w:r w:rsidR="00E30183" w:rsidRPr="00C95F78">
        <w:t xml:space="preserve"> smarter, it will become possible for electricity to be resold from the vehicle into the grid, thus strengthening the interconnection between the objects and systems concerned.</w:t>
      </w:r>
    </w:p>
    <w:p w:rsidR="005A48E2" w:rsidRPr="00C95F78" w:rsidRDefault="005A48E2" w:rsidP="00BB1A5E">
      <w:pPr>
        <w:spacing w:after="0" w:line="240" w:lineRule="auto"/>
        <w:jc w:val="both"/>
      </w:pPr>
    </w:p>
    <w:p w:rsidR="005A48E2" w:rsidRPr="00C95F78" w:rsidRDefault="00A14C50" w:rsidP="00BB1A5E">
      <w:pPr>
        <w:pStyle w:val="Caption"/>
        <w:spacing w:after="240"/>
        <w:contextualSpacing/>
        <w:jc w:val="center"/>
        <w:rPr>
          <w:sz w:val="28"/>
          <w:szCs w:val="28"/>
        </w:rPr>
      </w:pPr>
      <w:bookmarkStart w:id="13" w:name="_Ref262289483"/>
      <w:bookmarkStart w:id="14" w:name="_Toc26367165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5</w:t>
      </w:r>
      <w:r w:rsidR="00D50FDC" w:rsidRPr="00C95F78">
        <w:rPr>
          <w:sz w:val="28"/>
          <w:szCs w:val="28"/>
        </w:rPr>
        <w:fldChar w:fldCharType="end"/>
      </w:r>
      <w:bookmarkEnd w:id="13"/>
      <w:r w:rsidRPr="00C95F78">
        <w:rPr>
          <w:sz w:val="28"/>
          <w:szCs w:val="28"/>
        </w:rPr>
        <w:t>: The Core Relationships Between Emerging Market Segments</w:t>
      </w:r>
      <w:bookmarkEnd w:id="14"/>
    </w:p>
    <w:p w:rsidR="005A48E2" w:rsidRPr="00C95F78" w:rsidRDefault="00F85255" w:rsidP="00BB1A5E">
      <w:pPr>
        <w:spacing w:after="0" w:line="240" w:lineRule="auto"/>
        <w:jc w:val="both"/>
      </w:pPr>
      <w:r w:rsidRPr="00F85255">
        <w:rPr>
          <w:noProof/>
          <w:lang w:val="en-US"/>
        </w:rPr>
        <w:drawing>
          <wp:inline distT="0" distB="0" distL="0" distR="0">
            <wp:extent cx="5656776" cy="6211614"/>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4964"/>
                    <a:stretch>
                      <a:fillRect/>
                    </a:stretch>
                  </pic:blipFill>
                  <pic:spPr bwMode="auto">
                    <a:xfrm>
                      <a:off x="0" y="0"/>
                      <a:ext cx="5656776" cy="6211614"/>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jc w:val="both"/>
      </w:pPr>
    </w:p>
    <w:p w:rsidR="005A48E2" w:rsidRPr="00C95F78" w:rsidRDefault="00D83EE1" w:rsidP="00BB1A5E">
      <w:pPr>
        <w:spacing w:after="0" w:line="240" w:lineRule="auto"/>
        <w:jc w:val="both"/>
      </w:pPr>
      <w:r w:rsidRPr="00C95F78">
        <w:t xml:space="preserve">Even without the electric vehicle, the external electricity infrastructure and how it is used in the premise are intimately bound. The </w:t>
      </w:r>
      <w:r w:rsidR="00DD0E9D" w:rsidRPr="00C95F78">
        <w:t xml:space="preserve">logic of the </w:t>
      </w:r>
      <w:r w:rsidRPr="00C95F78">
        <w:t>emerging smart grid is partly about ensuring the integrity of the external electricity infrastructure, in particular making sure that the renewable energy based distributed generation is integrated fully within the system. Exactly what is required of the system, however, is determined by the electricity required at the premise</w:t>
      </w:r>
      <w:r w:rsidR="00DD0E9D" w:rsidRPr="00C95F78">
        <w:t xml:space="preserve"> (quantity and peak loading)</w:t>
      </w:r>
      <w:r w:rsidRPr="00C95F78">
        <w:t xml:space="preserve">. </w:t>
      </w:r>
    </w:p>
    <w:p w:rsidR="005A48E2" w:rsidRPr="00C95F78" w:rsidRDefault="005A48E2" w:rsidP="00BB1A5E">
      <w:pPr>
        <w:spacing w:after="0" w:line="240" w:lineRule="auto"/>
        <w:jc w:val="both"/>
      </w:pPr>
    </w:p>
    <w:p w:rsidR="005A48E2" w:rsidRPr="00C95F78" w:rsidRDefault="00D83EE1" w:rsidP="00BB1A5E">
      <w:pPr>
        <w:spacing w:after="0" w:line="240" w:lineRule="auto"/>
        <w:jc w:val="both"/>
      </w:pPr>
      <w:r w:rsidRPr="00C95F78">
        <w:t xml:space="preserve">The other aspect of the smart grid, the interface with electricity users, </w:t>
      </w:r>
      <w:r w:rsidR="00DD0E9D" w:rsidRPr="00C95F78">
        <w:t>is being developed</w:t>
      </w:r>
      <w:r w:rsidR="002B7D31" w:rsidRPr="00C95F78">
        <w:t xml:space="preserve"> to directly manage the demand</w:t>
      </w:r>
      <w:r w:rsidRPr="00C95F78">
        <w:t xml:space="preserve"> side of the equation. Through</w:t>
      </w:r>
      <w:r w:rsidR="00341C79" w:rsidRPr="00C95F78">
        <w:t xml:space="preserve"> time of day tariffs, electronic information exchange allowing the consumer to monitor and control energy expenses directly, and even direct control over energy use, the power utility of the future will be able to help reduce overall energy use, in particular peak loads. For the utility this means less generation capacity required. For the consumer it means achieving full benefit from the energy efficient systems installed.</w:t>
      </w:r>
    </w:p>
    <w:p w:rsidR="005A48E2" w:rsidRPr="00C95F78" w:rsidRDefault="00A14C50" w:rsidP="00BB1A5E">
      <w:pPr>
        <w:pStyle w:val="Caption"/>
        <w:spacing w:after="240"/>
        <w:contextualSpacing/>
        <w:jc w:val="center"/>
        <w:rPr>
          <w:sz w:val="28"/>
          <w:szCs w:val="28"/>
        </w:rPr>
      </w:pPr>
      <w:bookmarkStart w:id="15" w:name="_Ref262291341"/>
      <w:bookmarkStart w:id="16" w:name="_Toc26367166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w:t>
      </w:r>
      <w:r w:rsidR="00D50FDC" w:rsidRPr="00C95F78">
        <w:rPr>
          <w:sz w:val="28"/>
          <w:szCs w:val="28"/>
        </w:rPr>
        <w:fldChar w:fldCharType="end"/>
      </w:r>
      <w:bookmarkEnd w:id="15"/>
      <w:r w:rsidRPr="00C95F78">
        <w:rPr>
          <w:sz w:val="28"/>
          <w:szCs w:val="28"/>
        </w:rPr>
        <w:t>: Key Systems and Components in Emerging Market Segments</w:t>
      </w:r>
      <w:bookmarkEnd w:id="16"/>
    </w:p>
    <w:p w:rsidR="005A48E2" w:rsidRPr="00C95F78" w:rsidRDefault="00A14C50" w:rsidP="00BB1A5E">
      <w:pPr>
        <w:spacing w:after="0" w:line="240" w:lineRule="auto"/>
        <w:jc w:val="both"/>
      </w:pPr>
      <w:r w:rsidRPr="00C95F78">
        <w:rPr>
          <w:noProof/>
          <w:lang w:val="en-US"/>
        </w:rPr>
        <w:drawing>
          <wp:inline distT="0" distB="0" distL="0" distR="0">
            <wp:extent cx="5731510" cy="492573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1510" cy="4925735"/>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jc w:val="both"/>
      </w:pPr>
    </w:p>
    <w:p w:rsidR="004D6789" w:rsidRPr="00C95F78" w:rsidRDefault="00F40676"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7" w:name="_Toc263688568"/>
      <w:r w:rsidRPr="00C95F78">
        <w:rPr>
          <w:rFonts w:asciiTheme="minorHAnsi" w:hAnsiTheme="minorHAnsi"/>
          <w:color w:val="365F91" w:themeColor="accent1" w:themeShade="BF"/>
          <w:sz w:val="30"/>
          <w:szCs w:val="30"/>
        </w:rPr>
        <w:t>The Distinction Between “Objects and Systems” and “Components”</w:t>
      </w:r>
      <w:bookmarkEnd w:id="17"/>
    </w:p>
    <w:p w:rsidR="005A48E2" w:rsidRPr="00C95F78" w:rsidRDefault="005A48E2" w:rsidP="00BB1A5E">
      <w:pPr>
        <w:spacing w:after="0" w:line="240" w:lineRule="auto"/>
        <w:jc w:val="both"/>
      </w:pPr>
    </w:p>
    <w:p w:rsidR="005A48E2" w:rsidRPr="00C95F78" w:rsidRDefault="00341C79" w:rsidP="00BB1A5E">
      <w:pPr>
        <w:spacing w:after="0" w:line="240" w:lineRule="auto"/>
        <w:jc w:val="both"/>
      </w:pPr>
      <w:r w:rsidRPr="00C95F78">
        <w:t xml:space="preserve">As indicated in </w:t>
      </w:r>
      <w:r w:rsidR="003C7AEB">
        <w:fldChar w:fldCharType="begin"/>
      </w:r>
      <w:r w:rsidR="003C7AEB">
        <w:instrText xml:space="preserve"> REF _Ref262289483 \h  \* MERGEFORMAT </w:instrText>
      </w:r>
      <w:r w:rsidR="003C7AEB">
        <w:fldChar w:fldCharType="separate"/>
      </w:r>
      <w:r w:rsidR="0005759A" w:rsidRPr="0005759A">
        <w:t>Figure 5</w:t>
      </w:r>
      <w:r w:rsidR="003C7AEB">
        <w:fldChar w:fldCharType="end"/>
      </w:r>
      <w:r w:rsidRPr="00C95F78">
        <w:t>, the developments in each of the market areas that comprise the new energy economy have direct bearing on copper containing business areas. For example, the transport market area incorporates both the vehicles themselves and the charging infrastructure.</w:t>
      </w:r>
    </w:p>
    <w:p w:rsidR="005A48E2" w:rsidRPr="00C95F78" w:rsidRDefault="005A48E2" w:rsidP="00BB1A5E">
      <w:pPr>
        <w:spacing w:after="0" w:line="240" w:lineRule="auto"/>
        <w:jc w:val="both"/>
      </w:pPr>
    </w:p>
    <w:p w:rsidR="005A48E2" w:rsidRPr="00C95F78" w:rsidRDefault="00F40676" w:rsidP="00BB1A5E">
      <w:pPr>
        <w:spacing w:after="0" w:line="240" w:lineRule="auto"/>
        <w:jc w:val="both"/>
      </w:pPr>
      <w:r w:rsidRPr="00C95F78">
        <w:t xml:space="preserve">In </w:t>
      </w:r>
      <w:r w:rsidR="003C7AEB">
        <w:fldChar w:fldCharType="begin"/>
      </w:r>
      <w:r w:rsidR="003C7AEB">
        <w:instrText xml:space="preserve"> REF _Ref262291341 \h  \* MERGEFORMAT </w:instrText>
      </w:r>
      <w:r w:rsidR="003C7AEB">
        <w:fldChar w:fldCharType="separate"/>
      </w:r>
      <w:r w:rsidR="0005759A" w:rsidRPr="0005759A">
        <w:t>Figure 6</w:t>
      </w:r>
      <w:r w:rsidR="003C7AEB">
        <w:fldChar w:fldCharType="end"/>
      </w:r>
      <w:r w:rsidRPr="00C95F78">
        <w:t xml:space="preserve"> we develop on this point. Here, we make the key distinction between “Objects and Systems” on the one hand, and “Components” on the other. For example, in the electricity infrastructure sector we identify wind farm generation as one object or system. While this may be regarded as a market in its own right, it is clear that several different elements </w:t>
      </w:r>
      <w:r w:rsidR="004C5F39" w:rsidRPr="00C95F78">
        <w:t>are used to</w:t>
      </w:r>
      <w:r w:rsidRPr="00C95F78">
        <w:t xml:space="preserve"> make up this market, including generators, transformers, cabling and electronics. Each of these may be regarded as “Components”.</w:t>
      </w:r>
    </w:p>
    <w:p w:rsidR="005A48E2" w:rsidRPr="00C95F78" w:rsidRDefault="005A48E2" w:rsidP="00BB1A5E">
      <w:pPr>
        <w:spacing w:after="0" w:line="240" w:lineRule="auto"/>
        <w:jc w:val="both"/>
      </w:pPr>
    </w:p>
    <w:p w:rsidR="005A48E2" w:rsidRPr="00C95F78" w:rsidRDefault="00F40676" w:rsidP="00BB1A5E">
      <w:pPr>
        <w:spacing w:after="0" w:line="240" w:lineRule="auto"/>
        <w:jc w:val="both"/>
      </w:pPr>
      <w:r w:rsidRPr="00C95F78">
        <w:t>Exactly how we define emerging markets for copper depends on whether we focus on objects or components. If we look at components, the separate market areas concerned should normally be smaller and more numerous. As the same or similar components are</w:t>
      </w:r>
      <w:r w:rsidR="00012906" w:rsidRPr="00C95F78">
        <w:t xml:space="preserve"> used in closely related object markets, however, it is reasonable to group them. For example, on the component side it </w:t>
      </w:r>
      <w:r w:rsidR="002B7D31" w:rsidRPr="00C95F78">
        <w:t>is</w:t>
      </w:r>
      <w:r w:rsidR="00012906" w:rsidRPr="00C95F78">
        <w:t xml:space="preserve"> </w:t>
      </w:r>
      <w:r w:rsidR="004C5F39" w:rsidRPr="00C95F78">
        <w:t xml:space="preserve">sensible </w:t>
      </w:r>
      <w:r w:rsidR="00012906" w:rsidRPr="00C95F78">
        <w:t>to look at “cables in distributed electricity generation”</w:t>
      </w:r>
      <w:r w:rsidR="002B7D31" w:rsidRPr="00C95F78">
        <w:t xml:space="preserve"> as a discrete market</w:t>
      </w:r>
      <w:r w:rsidR="00012906" w:rsidRPr="00C95F78">
        <w:t xml:space="preserve">. </w:t>
      </w:r>
      <w:r w:rsidR="004C5F39" w:rsidRPr="00C95F78">
        <w:t xml:space="preserve">On </w:t>
      </w:r>
      <w:r w:rsidR="00012906" w:rsidRPr="00C95F78">
        <w:t>the object si</w:t>
      </w:r>
      <w:r w:rsidR="002B7D31" w:rsidRPr="00C95F78">
        <w:t>d</w:t>
      </w:r>
      <w:r w:rsidR="00012906" w:rsidRPr="00C95F78">
        <w:t>e, we look at wind power, solar power and other sources of distributed energy separately.</w:t>
      </w:r>
    </w:p>
    <w:p w:rsidR="005A48E2" w:rsidRPr="00C95F78" w:rsidRDefault="005A48E2" w:rsidP="00BB1A5E">
      <w:pPr>
        <w:spacing w:after="0" w:line="240" w:lineRule="auto"/>
        <w:jc w:val="both"/>
      </w:pPr>
    </w:p>
    <w:p w:rsidR="00EA6997" w:rsidRPr="00C95F78" w:rsidRDefault="00EA6997" w:rsidP="00BB1A5E">
      <w:pPr>
        <w:spacing w:after="0" w:line="240" w:lineRule="auto"/>
        <w:jc w:val="both"/>
        <w:sectPr w:rsidR="00EA6997" w:rsidRPr="00C95F78" w:rsidSect="006A5F5A">
          <w:pgSz w:w="11906" w:h="16838" w:code="9"/>
          <w:pgMar w:top="1474" w:right="1361" w:bottom="1247" w:left="1361" w:header="709" w:footer="709" w:gutter="0"/>
          <w:pgNumType w:fmt="numberInDash" w:start="11"/>
          <w:cols w:space="708"/>
          <w:titlePg/>
          <w:docGrid w:linePitch="360"/>
        </w:sectPr>
      </w:pPr>
    </w:p>
    <w:p w:rsidR="005A48E2" w:rsidRPr="00C95F78" w:rsidRDefault="000F52C8" w:rsidP="00BB1A5E">
      <w:pPr>
        <w:pStyle w:val="Caption"/>
        <w:contextualSpacing/>
        <w:jc w:val="center"/>
        <w:rPr>
          <w:sz w:val="28"/>
          <w:szCs w:val="28"/>
        </w:rPr>
      </w:pPr>
      <w:bookmarkStart w:id="18" w:name="_Ref262292528"/>
      <w:bookmarkStart w:id="19" w:name="_Toc26367166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w:t>
      </w:r>
      <w:r w:rsidR="00D50FDC" w:rsidRPr="00C95F78">
        <w:rPr>
          <w:sz w:val="28"/>
          <w:szCs w:val="28"/>
        </w:rPr>
        <w:fldChar w:fldCharType="end"/>
      </w:r>
      <w:bookmarkEnd w:id="18"/>
      <w:r w:rsidRPr="00C95F78">
        <w:rPr>
          <w:sz w:val="28"/>
          <w:szCs w:val="28"/>
        </w:rPr>
        <w:t xml:space="preserve">: </w:t>
      </w:r>
      <w:r w:rsidR="00CA0340" w:rsidRPr="00C95F78">
        <w:rPr>
          <w:sz w:val="28"/>
          <w:szCs w:val="28"/>
        </w:rPr>
        <w:t>Emerging Markets for Cop</w:t>
      </w:r>
      <w:r w:rsidR="00012906" w:rsidRPr="00C95F78">
        <w:rPr>
          <w:sz w:val="28"/>
          <w:szCs w:val="28"/>
        </w:rPr>
        <w:t>per: Stage 1 Filter (Objects and Systems</w:t>
      </w:r>
      <w:r w:rsidR="00CA0340" w:rsidRPr="00C95F78">
        <w:rPr>
          <w:sz w:val="28"/>
          <w:szCs w:val="28"/>
        </w:rPr>
        <w:t>)</w:t>
      </w:r>
      <w:bookmarkEnd w:id="19"/>
    </w:p>
    <w:p w:rsidR="005A48E2" w:rsidRPr="00C95F78" w:rsidRDefault="00CE7319" w:rsidP="00BB1A5E">
      <w:pPr>
        <w:spacing w:after="0" w:line="240" w:lineRule="auto"/>
        <w:jc w:val="both"/>
      </w:pPr>
      <w:r w:rsidRPr="00C95F78">
        <w:rPr>
          <w:noProof/>
          <w:lang w:val="en-US"/>
        </w:rPr>
        <w:drawing>
          <wp:inline distT="0" distB="0" distL="0" distR="0">
            <wp:extent cx="8964295" cy="5035720"/>
            <wp:effectExtent l="19050" t="0" r="825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964295" cy="5035720"/>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jc w:val="both"/>
      </w:pPr>
    </w:p>
    <w:p w:rsidR="004D6789" w:rsidRPr="00C95F78" w:rsidRDefault="000F52C8" w:rsidP="00BB1A5E">
      <w:pPr>
        <w:spacing w:line="240" w:lineRule="auto"/>
        <w:jc w:val="both"/>
      </w:pPr>
      <w:r w:rsidRPr="00C95F78">
        <w:br w:type="page"/>
      </w:r>
    </w:p>
    <w:p w:rsidR="000F52C8" w:rsidRPr="00C95F78" w:rsidRDefault="000F52C8" w:rsidP="00BB1A5E">
      <w:pPr>
        <w:pStyle w:val="Caption"/>
        <w:contextualSpacing/>
        <w:jc w:val="center"/>
        <w:rPr>
          <w:sz w:val="28"/>
          <w:szCs w:val="28"/>
        </w:rPr>
      </w:pPr>
      <w:bookmarkStart w:id="20" w:name="_Ref262292572"/>
      <w:bookmarkStart w:id="21" w:name="_Ref262292536"/>
      <w:bookmarkStart w:id="22" w:name="_Toc26367166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w:t>
      </w:r>
      <w:r w:rsidR="00D50FDC" w:rsidRPr="00C95F78">
        <w:rPr>
          <w:sz w:val="28"/>
          <w:szCs w:val="28"/>
        </w:rPr>
        <w:fldChar w:fldCharType="end"/>
      </w:r>
      <w:bookmarkEnd w:id="20"/>
      <w:r w:rsidRPr="00C95F78">
        <w:rPr>
          <w:sz w:val="28"/>
          <w:szCs w:val="28"/>
        </w:rPr>
        <w:t xml:space="preserve">: </w:t>
      </w:r>
      <w:r w:rsidR="00CA0340" w:rsidRPr="00C95F78">
        <w:rPr>
          <w:sz w:val="28"/>
          <w:szCs w:val="28"/>
        </w:rPr>
        <w:t>Emerging Markets for Copper: Stage 1 Filter (Components)</w:t>
      </w:r>
      <w:bookmarkEnd w:id="21"/>
      <w:bookmarkEnd w:id="22"/>
    </w:p>
    <w:p w:rsidR="005A48E2" w:rsidRPr="00C95F78" w:rsidRDefault="000F52C8" w:rsidP="00BB1A5E">
      <w:pPr>
        <w:spacing w:after="0" w:line="240" w:lineRule="auto"/>
        <w:jc w:val="both"/>
      </w:pPr>
      <w:r w:rsidRPr="00C95F78">
        <w:rPr>
          <w:noProof/>
          <w:lang w:val="en-US"/>
        </w:rPr>
        <w:drawing>
          <wp:inline distT="0" distB="0" distL="0" distR="0">
            <wp:extent cx="8976094" cy="5476310"/>
            <wp:effectExtent l="19050" t="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b="2871"/>
                    <a:stretch>
                      <a:fillRect/>
                    </a:stretch>
                  </pic:blipFill>
                  <pic:spPr bwMode="auto">
                    <a:xfrm>
                      <a:off x="0" y="0"/>
                      <a:ext cx="8976094" cy="5476310"/>
                    </a:xfrm>
                    <a:prstGeom prst="rect">
                      <a:avLst/>
                    </a:prstGeom>
                    <a:noFill/>
                    <a:ln w="9525">
                      <a:noFill/>
                      <a:miter lim="800000"/>
                      <a:headEnd/>
                      <a:tailEnd/>
                    </a:ln>
                  </pic:spPr>
                </pic:pic>
              </a:graphicData>
            </a:graphic>
          </wp:inline>
        </w:drawing>
      </w:r>
    </w:p>
    <w:p w:rsidR="00A14C50" w:rsidRPr="00C95F78" w:rsidRDefault="00A14C50" w:rsidP="00BB1A5E">
      <w:pPr>
        <w:spacing w:after="0" w:line="240" w:lineRule="auto"/>
        <w:jc w:val="both"/>
        <w:sectPr w:rsidR="00A14C50" w:rsidRPr="00C95F78" w:rsidSect="006A5F5A">
          <w:pgSz w:w="16838" w:h="11906" w:orient="landscape" w:code="9"/>
          <w:pgMar w:top="1361" w:right="1474" w:bottom="1361" w:left="1247" w:header="709" w:footer="709" w:gutter="0"/>
          <w:pgNumType w:fmt="numberInDash" w:start="14"/>
          <w:cols w:space="708"/>
          <w:titlePg/>
          <w:docGrid w:linePitch="360"/>
        </w:sectPr>
      </w:pPr>
    </w:p>
    <w:p w:rsidR="004D6789" w:rsidRPr="00C95F78" w:rsidRDefault="00012906"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23" w:name="_Toc263688569"/>
      <w:r w:rsidRPr="00C95F78">
        <w:rPr>
          <w:rFonts w:asciiTheme="minorHAnsi" w:hAnsiTheme="minorHAnsi"/>
          <w:color w:val="365F91" w:themeColor="accent1" w:themeShade="BF"/>
          <w:sz w:val="30"/>
          <w:szCs w:val="30"/>
        </w:rPr>
        <w:t>The Preliminary Market Filter</w:t>
      </w:r>
      <w:bookmarkEnd w:id="23"/>
    </w:p>
    <w:p w:rsidR="005A48E2" w:rsidRPr="00C95F78" w:rsidRDefault="005A48E2" w:rsidP="00BB1A5E">
      <w:pPr>
        <w:spacing w:after="0" w:line="240" w:lineRule="auto"/>
        <w:jc w:val="both"/>
      </w:pPr>
    </w:p>
    <w:p w:rsidR="005A48E2" w:rsidRPr="00C95F78" w:rsidRDefault="00012906" w:rsidP="00BB1A5E">
      <w:pPr>
        <w:spacing w:after="0" w:line="240" w:lineRule="auto"/>
        <w:jc w:val="both"/>
      </w:pPr>
      <w:r w:rsidRPr="00C95F78">
        <w:t xml:space="preserve">Having defined the market areas where attention should be focussed and identified the alternative ways of defining markets (either as “Objects and Systems” or “Components”), the next task is to define those specific market areas worthy of further investigation. This is the purpose of the preliminary market filter, shown in </w:t>
      </w:r>
      <w:r w:rsidR="003C7AEB">
        <w:fldChar w:fldCharType="begin"/>
      </w:r>
      <w:r w:rsidR="003C7AEB">
        <w:instrText xml:space="preserve"> REF _Ref262292528 \h  \* MERGEFORMAT </w:instrText>
      </w:r>
      <w:r w:rsidR="003C7AEB">
        <w:fldChar w:fldCharType="separate"/>
      </w:r>
      <w:r w:rsidR="0005759A" w:rsidRPr="0005759A">
        <w:t>Figure 7</w:t>
      </w:r>
      <w:r w:rsidR="003C7AEB">
        <w:fldChar w:fldCharType="end"/>
      </w:r>
      <w:r w:rsidRPr="00C95F78">
        <w:t xml:space="preserve"> and </w:t>
      </w:r>
      <w:r w:rsidR="003C7AEB">
        <w:fldChar w:fldCharType="begin"/>
      </w:r>
      <w:r w:rsidR="003C7AEB">
        <w:instrText xml:space="preserve"> REF _Ref262292572 \h  \* MERGEFORMAT </w:instrText>
      </w:r>
      <w:r w:rsidR="003C7AEB">
        <w:fldChar w:fldCharType="separate"/>
      </w:r>
      <w:r w:rsidR="0005759A" w:rsidRPr="0005759A">
        <w:t>Figure 8</w:t>
      </w:r>
      <w:r w:rsidR="003C7AEB">
        <w:fldChar w:fldCharType="end"/>
      </w:r>
      <w:r w:rsidRPr="00C95F78">
        <w:t>.</w:t>
      </w:r>
    </w:p>
    <w:p w:rsidR="005A48E2" w:rsidRPr="00C95F78" w:rsidRDefault="005A48E2" w:rsidP="00BB1A5E">
      <w:pPr>
        <w:spacing w:after="0" w:line="240" w:lineRule="auto"/>
        <w:jc w:val="both"/>
      </w:pPr>
    </w:p>
    <w:p w:rsidR="005A48E2" w:rsidRPr="00C95F78" w:rsidRDefault="000215F1" w:rsidP="00BB1A5E">
      <w:pPr>
        <w:spacing w:after="0" w:line="240" w:lineRule="auto"/>
        <w:jc w:val="both"/>
      </w:pPr>
      <w:r w:rsidRPr="00C95F78">
        <w:t xml:space="preserve">The first part of the filter process is to find out which markets can be excluded as they do not meet the critical criteria. On the tables, these are defined as threshold criteria, and whether or not they achieve a criterion is shown by a Yes / No answer (or a question mark). The key </w:t>
      </w:r>
      <w:r w:rsidR="002B7D31" w:rsidRPr="00C95F78">
        <w:t xml:space="preserve">threshold </w:t>
      </w:r>
      <w:r w:rsidRPr="00C95F78">
        <w:t xml:space="preserve">criteria are 1) whether the market is electrical, 2) whether it is already too large (above 5 ktpy) to be considered an emerging market and 3) whether it is sufficiently discrete to be considered a separate market at all. Markets that fail on the Yes / No criteria are coloured grey on the column at the right hand side of these tables. </w:t>
      </w:r>
    </w:p>
    <w:p w:rsidR="005A48E2" w:rsidRPr="00C95F78" w:rsidRDefault="005A48E2" w:rsidP="00BB1A5E">
      <w:pPr>
        <w:spacing w:after="0" w:line="240" w:lineRule="auto"/>
        <w:jc w:val="both"/>
      </w:pPr>
    </w:p>
    <w:p w:rsidR="005A48E2" w:rsidRPr="00C95F78" w:rsidRDefault="00FA3B5F" w:rsidP="00BB1A5E">
      <w:pPr>
        <w:spacing w:after="0" w:line="240" w:lineRule="auto"/>
        <w:jc w:val="both"/>
      </w:pPr>
      <w:r w:rsidRPr="00C95F78">
        <w:t xml:space="preserve">The rejection on the threshold </w:t>
      </w:r>
      <w:r w:rsidR="000215F1" w:rsidRPr="00C95F78">
        <w:t xml:space="preserve">basis in some cases means that the markets concerned are given no further coverage in this Report. </w:t>
      </w:r>
      <w:r w:rsidR="002B7D31" w:rsidRPr="00C95F78">
        <w:t xml:space="preserve">Others are given different degrees of coverage, as they are still of interest. </w:t>
      </w:r>
      <w:r w:rsidR="000215F1" w:rsidRPr="00C95F78">
        <w:t xml:space="preserve">Some </w:t>
      </w:r>
      <w:r w:rsidR="002B7D31" w:rsidRPr="00C95F78">
        <w:t>“</w:t>
      </w:r>
      <w:r w:rsidR="000215F1" w:rsidRPr="00C95F78">
        <w:t>Object</w:t>
      </w:r>
      <w:r w:rsidR="002B7D31" w:rsidRPr="00C95F78">
        <w:t>”</w:t>
      </w:r>
      <w:r w:rsidR="000215F1" w:rsidRPr="00C95F78">
        <w:t xml:space="preserve"> markets rejected on grounds of size, for example, become eligible at the </w:t>
      </w:r>
      <w:r w:rsidR="002B7D31" w:rsidRPr="00C95F78">
        <w:t>“C</w:t>
      </w:r>
      <w:r w:rsidR="000215F1" w:rsidRPr="00C95F78">
        <w:t>omponent</w:t>
      </w:r>
      <w:r w:rsidR="002B7D31" w:rsidRPr="00C95F78">
        <w:t>”</w:t>
      </w:r>
      <w:r w:rsidR="000215F1" w:rsidRPr="00C95F78">
        <w:t xml:space="preserve"> level. Others do not, but their very rapid growth, comparatively small size currently and the possibility of dividing the component categorisation more finely (and thus putting current copper consumption under our threshold), make them worthy of further investigation. This is true of wind power and solar PV power systems, and their components.</w:t>
      </w:r>
    </w:p>
    <w:p w:rsidR="005A48E2" w:rsidRPr="00C95F78" w:rsidRDefault="005A48E2" w:rsidP="00BB1A5E">
      <w:pPr>
        <w:spacing w:after="0" w:line="240" w:lineRule="auto"/>
        <w:jc w:val="both"/>
      </w:pPr>
    </w:p>
    <w:p w:rsidR="005A48E2" w:rsidRPr="00C95F78" w:rsidRDefault="00FA3B5F" w:rsidP="00BB1A5E">
      <w:pPr>
        <w:spacing w:after="0" w:line="240" w:lineRule="auto"/>
        <w:jc w:val="both"/>
      </w:pPr>
      <w:r w:rsidRPr="00C95F78">
        <w:t>Having defined whether or not a market may qualify, the next task is to determine which of them looks on a priori grounds to be most suitable for further investigation. This was done by giving a weighted score out of 200. The categories that go up to make the score are as follows:</w:t>
      </w:r>
    </w:p>
    <w:p w:rsidR="005A48E2" w:rsidRPr="00C95F78" w:rsidRDefault="005A48E2" w:rsidP="00BB1A5E">
      <w:pPr>
        <w:spacing w:after="0" w:line="240" w:lineRule="auto"/>
        <w:jc w:val="both"/>
      </w:pPr>
    </w:p>
    <w:p w:rsidR="005A48E2" w:rsidRPr="00C95F78" w:rsidRDefault="00FA3B5F" w:rsidP="00BB1A5E">
      <w:pPr>
        <w:pStyle w:val="ListParagraph"/>
        <w:numPr>
          <w:ilvl w:val="0"/>
          <w:numId w:val="11"/>
        </w:numPr>
        <w:spacing w:after="120" w:line="240" w:lineRule="auto"/>
        <w:ind w:left="714" w:hanging="357"/>
        <w:contextualSpacing w:val="0"/>
        <w:jc w:val="both"/>
      </w:pPr>
      <w:r w:rsidRPr="00C95F78">
        <w:t>Stage of product development.</w:t>
      </w:r>
    </w:p>
    <w:p w:rsidR="005A48E2" w:rsidRPr="00C95F78" w:rsidRDefault="00FA3B5F" w:rsidP="00BB1A5E">
      <w:pPr>
        <w:pStyle w:val="ListParagraph"/>
        <w:numPr>
          <w:ilvl w:val="0"/>
          <w:numId w:val="11"/>
        </w:numPr>
        <w:spacing w:after="120" w:line="240" w:lineRule="auto"/>
        <w:ind w:left="714" w:hanging="357"/>
        <w:contextualSpacing w:val="0"/>
        <w:jc w:val="both"/>
      </w:pPr>
      <w:r w:rsidRPr="00C95F78">
        <w:t>Underlying performance of the market sector in which the new market is found.</w:t>
      </w:r>
    </w:p>
    <w:p w:rsidR="005A48E2" w:rsidRPr="00C95F78" w:rsidRDefault="00FA3B5F" w:rsidP="00BB1A5E">
      <w:pPr>
        <w:pStyle w:val="ListParagraph"/>
        <w:numPr>
          <w:ilvl w:val="0"/>
          <w:numId w:val="11"/>
        </w:numPr>
        <w:spacing w:after="120" w:line="240" w:lineRule="auto"/>
        <w:ind w:left="714" w:hanging="357"/>
        <w:contextualSpacing w:val="0"/>
        <w:jc w:val="both"/>
      </w:pPr>
      <w:r w:rsidRPr="00C95F78">
        <w:t>The performance of the new market area within its sector.</w:t>
      </w:r>
    </w:p>
    <w:p w:rsidR="005A48E2" w:rsidRPr="00C95F78" w:rsidRDefault="00FA3B5F" w:rsidP="00BB1A5E">
      <w:pPr>
        <w:pStyle w:val="ListParagraph"/>
        <w:numPr>
          <w:ilvl w:val="0"/>
          <w:numId w:val="11"/>
        </w:numPr>
        <w:spacing w:after="120" w:line="240" w:lineRule="auto"/>
        <w:ind w:left="714" w:hanging="357"/>
        <w:contextualSpacing w:val="0"/>
        <w:jc w:val="both"/>
      </w:pPr>
      <w:r w:rsidRPr="00C95F78">
        <w:t>The new market’s competitive position compared to lower copper alternatives and entirely different technologies.</w:t>
      </w:r>
    </w:p>
    <w:p w:rsidR="005A48E2" w:rsidRPr="00C95F78" w:rsidRDefault="00FA3B5F" w:rsidP="00BB1A5E">
      <w:pPr>
        <w:pStyle w:val="ListParagraph"/>
        <w:numPr>
          <w:ilvl w:val="0"/>
          <w:numId w:val="11"/>
        </w:numPr>
        <w:spacing w:after="240" w:line="240" w:lineRule="auto"/>
        <w:ind w:left="714" w:hanging="357"/>
        <w:contextualSpacing w:val="0"/>
        <w:jc w:val="both"/>
      </w:pPr>
      <w:r w:rsidRPr="00C95F78">
        <w:t>Expected performance of the new market.</w:t>
      </w:r>
    </w:p>
    <w:p w:rsidR="005A48E2" w:rsidRPr="00C95F78" w:rsidRDefault="00A52015" w:rsidP="00BB1A5E">
      <w:pPr>
        <w:spacing w:after="0" w:line="240" w:lineRule="auto"/>
        <w:jc w:val="both"/>
      </w:pPr>
      <w:r w:rsidRPr="00C95F78">
        <w:t>While the scoring process was by no means prec</w:t>
      </w:r>
      <w:r w:rsidR="002B7D31" w:rsidRPr="00C95F78">
        <w:t>ise, it</w:t>
      </w:r>
      <w:r w:rsidRPr="00C95F78">
        <w:t xml:space="preserve"> give</w:t>
      </w:r>
      <w:r w:rsidR="002B7D31" w:rsidRPr="00C95F78">
        <w:t>s</w:t>
      </w:r>
      <w:r w:rsidRPr="00C95F78">
        <w:t xml:space="preserve"> some indication of which markets </w:t>
      </w:r>
      <w:r w:rsidR="002B7D31" w:rsidRPr="00C95F78">
        <w:t>are</w:t>
      </w:r>
      <w:r w:rsidRPr="00C95F78">
        <w:t xml:space="preserve"> likely to be winners, and those which are not. In the right hand columns of the scoring tables we have </w:t>
      </w:r>
      <w:r w:rsidR="002B7D31" w:rsidRPr="00C95F78">
        <w:t>marked the markets that achieve</w:t>
      </w:r>
      <w:r w:rsidRPr="00C95F78">
        <w:t xml:space="preserve"> scores of 110 and above in gold.</w:t>
      </w:r>
      <w:r w:rsidR="00546D64" w:rsidRPr="00C95F78">
        <w:t xml:space="preserve"> This corresponds quite well to the markets we identify in this Report as the “emerging markets for copper”. </w:t>
      </w:r>
    </w:p>
    <w:p w:rsidR="005A48E2" w:rsidRPr="00C95F78" w:rsidRDefault="005A48E2" w:rsidP="00BB1A5E">
      <w:pPr>
        <w:spacing w:after="0" w:line="240" w:lineRule="auto"/>
        <w:jc w:val="both"/>
      </w:pPr>
    </w:p>
    <w:p w:rsidR="005A48E2" w:rsidRPr="00C95F78" w:rsidRDefault="00546D64" w:rsidP="00BB1A5E">
      <w:pPr>
        <w:spacing w:after="0" w:line="240" w:lineRule="auto"/>
        <w:jc w:val="both"/>
      </w:pPr>
      <w:r w:rsidRPr="00C95F78">
        <w:t>There are other markets that are worthy of attention. In particular, some market areas promise to be large within a 15 to 20 year period, but maybe not in the time frame under review. Marine power generation</w:t>
      </w:r>
      <w:r w:rsidR="002B7D31" w:rsidRPr="00C95F78">
        <w:t>, for example, falls</w:t>
      </w:r>
      <w:r w:rsidRPr="00C95F78">
        <w:t xml:space="preserve"> into this category.</w:t>
      </w:r>
    </w:p>
    <w:p w:rsidR="005A48E2" w:rsidRPr="00C95F78" w:rsidRDefault="005A48E2" w:rsidP="00BB1A5E">
      <w:pPr>
        <w:spacing w:after="0" w:line="240" w:lineRule="auto"/>
        <w:jc w:val="both"/>
      </w:pPr>
    </w:p>
    <w:p w:rsidR="004D6789" w:rsidRPr="00C95F78" w:rsidRDefault="00546D64"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24" w:name="_Toc263688570"/>
      <w:r w:rsidRPr="00C95F78">
        <w:rPr>
          <w:rFonts w:asciiTheme="minorHAnsi" w:hAnsiTheme="minorHAnsi"/>
          <w:color w:val="365F91" w:themeColor="accent1" w:themeShade="BF"/>
          <w:sz w:val="30"/>
          <w:szCs w:val="30"/>
        </w:rPr>
        <w:t>Further Market Investigation and Forecasts</w:t>
      </w:r>
      <w:bookmarkEnd w:id="24"/>
    </w:p>
    <w:p w:rsidR="005A48E2" w:rsidRPr="00C95F78" w:rsidRDefault="005A48E2" w:rsidP="00BB1A5E">
      <w:pPr>
        <w:spacing w:after="0" w:line="240" w:lineRule="auto"/>
        <w:jc w:val="both"/>
      </w:pPr>
    </w:p>
    <w:p w:rsidR="005A48E2" w:rsidRPr="00C95F78" w:rsidRDefault="00546D64" w:rsidP="00BB1A5E">
      <w:pPr>
        <w:spacing w:after="0" w:line="240" w:lineRule="auto"/>
        <w:jc w:val="both"/>
      </w:pPr>
      <w:r w:rsidRPr="00C95F78">
        <w:t>Taking the initial filter described above, the results of further market investigation are given in the Sections of this Report that follow. With hugely different estimates by different authorities as to how these markets will develop in volume and technology, the copper content forecasts are intended to be indicative only. Where appropriate, we give an indication of what we consider to be the realistic range</w:t>
      </w:r>
      <w:r w:rsidR="00CB6DF9" w:rsidRPr="00C95F78">
        <w:br w:type="page"/>
      </w:r>
    </w:p>
    <w:p w:rsidR="005A48E2" w:rsidRPr="00C95F78" w:rsidRDefault="009A3879" w:rsidP="00BB1A5E">
      <w:pPr>
        <w:pStyle w:val="Caption"/>
        <w:contextualSpacing/>
        <w:jc w:val="center"/>
        <w:rPr>
          <w:sz w:val="28"/>
          <w:szCs w:val="28"/>
        </w:rPr>
      </w:pPr>
      <w:bookmarkStart w:id="25" w:name="_Ref259440746"/>
      <w:bookmarkStart w:id="26" w:name="_Ref260824144"/>
      <w:bookmarkStart w:id="27" w:name="_Toc26367166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w:t>
      </w:r>
      <w:r w:rsidR="00D50FDC" w:rsidRPr="00C95F78">
        <w:rPr>
          <w:sz w:val="28"/>
          <w:szCs w:val="28"/>
        </w:rPr>
        <w:fldChar w:fldCharType="end"/>
      </w:r>
      <w:bookmarkEnd w:id="25"/>
      <w:r w:rsidR="008F1F89" w:rsidRPr="00C95F78">
        <w:rPr>
          <w:sz w:val="28"/>
          <w:szCs w:val="28"/>
        </w:rPr>
        <w:t xml:space="preserve">: </w:t>
      </w:r>
      <w:bookmarkEnd w:id="26"/>
      <w:r w:rsidR="00F11C14" w:rsidRPr="00C95F78">
        <w:rPr>
          <w:sz w:val="28"/>
          <w:szCs w:val="28"/>
        </w:rPr>
        <w:t>GDP F</w:t>
      </w:r>
      <w:r w:rsidR="004E12D7" w:rsidRPr="00C95F78">
        <w:rPr>
          <w:sz w:val="28"/>
          <w:szCs w:val="28"/>
        </w:rPr>
        <w:t>orecast</w:t>
      </w:r>
      <w:r w:rsidR="00F11C14" w:rsidRPr="00C95F78">
        <w:rPr>
          <w:sz w:val="28"/>
          <w:szCs w:val="28"/>
        </w:rPr>
        <w:t xml:space="preserve"> (2005 US$ billion)</w:t>
      </w:r>
      <w:bookmarkEnd w:id="27"/>
    </w:p>
    <w:p w:rsidR="005A48E2" w:rsidRPr="00C95F78" w:rsidRDefault="005A48E2" w:rsidP="00BB1A5E">
      <w:pPr>
        <w:spacing w:after="0" w:line="240" w:lineRule="auto"/>
        <w:contextualSpacing/>
        <w:jc w:val="both"/>
        <w:rPr>
          <w:sz w:val="16"/>
          <w:szCs w:val="16"/>
        </w:rPr>
      </w:pPr>
    </w:p>
    <w:p w:rsidR="005A48E2" w:rsidRPr="00C95F78" w:rsidRDefault="00F11C14" w:rsidP="00BB1A5E">
      <w:pPr>
        <w:spacing w:after="0" w:line="240" w:lineRule="auto"/>
        <w:contextualSpacing/>
        <w:jc w:val="both"/>
      </w:pPr>
      <w:r w:rsidRPr="00C95F78">
        <w:rPr>
          <w:noProof/>
          <w:lang w:val="en-US"/>
        </w:rPr>
        <w:drawing>
          <wp:inline distT="0" distB="0" distL="0" distR="0">
            <wp:extent cx="5831840" cy="2179612"/>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4815C8" w:rsidP="00BB1A5E">
      <w:pPr>
        <w:pStyle w:val="Caption"/>
        <w:contextualSpacing/>
        <w:jc w:val="center"/>
        <w:rPr>
          <w:sz w:val="28"/>
          <w:szCs w:val="28"/>
        </w:rPr>
      </w:pPr>
      <w:bookmarkStart w:id="28" w:name="_Ref262294363"/>
      <w:bookmarkStart w:id="29" w:name="_Toc26367166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w:t>
      </w:r>
      <w:r w:rsidR="00D50FDC" w:rsidRPr="00C95F78">
        <w:rPr>
          <w:sz w:val="28"/>
          <w:szCs w:val="28"/>
        </w:rPr>
        <w:fldChar w:fldCharType="end"/>
      </w:r>
      <w:bookmarkEnd w:id="28"/>
      <w:r w:rsidRPr="00C95F78">
        <w:rPr>
          <w:sz w:val="28"/>
          <w:szCs w:val="28"/>
        </w:rPr>
        <w:t xml:space="preserve">: Population </w:t>
      </w:r>
      <w:r w:rsidR="00F11C14" w:rsidRPr="00C95F78">
        <w:rPr>
          <w:sz w:val="28"/>
          <w:szCs w:val="28"/>
        </w:rPr>
        <w:t>Forecast (million)</w:t>
      </w:r>
      <w:bookmarkEnd w:id="29"/>
    </w:p>
    <w:p w:rsidR="005A48E2" w:rsidRPr="00C95F78" w:rsidRDefault="005A48E2" w:rsidP="00BB1A5E">
      <w:pPr>
        <w:spacing w:after="0" w:line="240" w:lineRule="auto"/>
        <w:contextualSpacing/>
        <w:jc w:val="both"/>
      </w:pPr>
    </w:p>
    <w:p w:rsidR="005A48E2" w:rsidRPr="00C95F78" w:rsidRDefault="00F11C14" w:rsidP="00BB1A5E">
      <w:pPr>
        <w:spacing w:after="0" w:line="240" w:lineRule="auto"/>
        <w:contextualSpacing/>
        <w:jc w:val="both"/>
      </w:pPr>
      <w:r w:rsidRPr="00C95F78">
        <w:rPr>
          <w:noProof/>
          <w:lang w:val="en-US"/>
        </w:rPr>
        <w:drawing>
          <wp:inline distT="0" distB="0" distL="0" distR="0">
            <wp:extent cx="5831840" cy="2179612"/>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F11C14" w:rsidP="00BB1A5E">
      <w:pPr>
        <w:pStyle w:val="Caption"/>
        <w:contextualSpacing/>
        <w:jc w:val="center"/>
        <w:rPr>
          <w:sz w:val="28"/>
          <w:szCs w:val="28"/>
        </w:rPr>
      </w:pPr>
      <w:bookmarkStart w:id="30" w:name="_Ref262294375"/>
      <w:bookmarkStart w:id="31" w:name="_Toc26367166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w:t>
      </w:r>
      <w:r w:rsidR="00D50FDC" w:rsidRPr="00C95F78">
        <w:rPr>
          <w:sz w:val="28"/>
          <w:szCs w:val="28"/>
        </w:rPr>
        <w:fldChar w:fldCharType="end"/>
      </w:r>
      <w:bookmarkEnd w:id="30"/>
      <w:r w:rsidRPr="00C95F78">
        <w:rPr>
          <w:sz w:val="28"/>
          <w:szCs w:val="28"/>
        </w:rPr>
        <w:t>: GDP per Head (2005 US$ ‘0000)</w:t>
      </w:r>
      <w:bookmarkEnd w:id="31"/>
    </w:p>
    <w:p w:rsidR="005A48E2" w:rsidRPr="00C95F78" w:rsidRDefault="00F11C14" w:rsidP="00BB1A5E">
      <w:pPr>
        <w:spacing w:after="0" w:line="240" w:lineRule="auto"/>
        <w:contextualSpacing/>
        <w:jc w:val="both"/>
      </w:pPr>
      <w:r w:rsidRPr="00C95F78">
        <w:rPr>
          <w:noProof/>
          <w:lang w:val="en-US"/>
        </w:rPr>
        <w:drawing>
          <wp:inline distT="0" distB="0" distL="0" distR="0">
            <wp:extent cx="5831840" cy="2179612"/>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4D6789" w:rsidRPr="00C95F78" w:rsidRDefault="001B29B4" w:rsidP="00BB1A5E">
      <w:pPr>
        <w:spacing w:line="240" w:lineRule="auto"/>
        <w:jc w:val="both"/>
        <w:rPr>
          <w:b/>
          <w:bCs/>
          <w:color w:val="4F81BD" w:themeColor="accent1"/>
          <w:sz w:val="28"/>
          <w:szCs w:val="28"/>
        </w:rPr>
      </w:pPr>
      <w:r w:rsidRPr="00C95F78">
        <w:rPr>
          <w:sz w:val="28"/>
          <w:szCs w:val="28"/>
        </w:rPr>
        <w:br w:type="page"/>
      </w:r>
    </w:p>
    <w:p w:rsidR="004D6789" w:rsidRPr="00C95F78" w:rsidRDefault="002B7D31" w:rsidP="00BB1A5E">
      <w:pPr>
        <w:spacing w:line="240" w:lineRule="auto"/>
        <w:jc w:val="both"/>
        <w:rPr>
          <w:rFonts w:eastAsiaTheme="majorEastAsia" w:cstheme="majorBidi"/>
          <w:b/>
          <w:bCs/>
          <w:color w:val="365F91" w:themeColor="accent1" w:themeShade="BF"/>
          <w:sz w:val="36"/>
          <w:szCs w:val="36"/>
        </w:rPr>
      </w:pPr>
      <w:r w:rsidRPr="00C95F78">
        <w:t xml:space="preserve">of possible outcomes. The main forecasts we produce are intended to be consistent with the macroeconomic and GDP scenarios presented in </w:t>
      </w:r>
      <w:r w:rsidR="003C7AEB">
        <w:fldChar w:fldCharType="begin"/>
      </w:r>
      <w:r w:rsidR="003C7AEB">
        <w:instrText xml:space="preserve"> REF _Ref259440746 \h  \* MERGEFORMAT </w:instrText>
      </w:r>
      <w:r w:rsidR="003C7AEB">
        <w:fldChar w:fldCharType="separate"/>
      </w:r>
      <w:r w:rsidR="0005759A" w:rsidRPr="0005759A">
        <w:t>Figure 9</w:t>
      </w:r>
      <w:r w:rsidR="003C7AEB">
        <w:fldChar w:fldCharType="end"/>
      </w:r>
      <w:r w:rsidRPr="00C95F78">
        <w:t xml:space="preserve">, </w:t>
      </w:r>
      <w:r w:rsidR="003C7AEB">
        <w:fldChar w:fldCharType="begin"/>
      </w:r>
      <w:r w:rsidR="003C7AEB">
        <w:instrText xml:space="preserve"> R</w:instrText>
      </w:r>
      <w:r w:rsidR="003C7AEB">
        <w:instrText xml:space="preserve">EF _Ref262294363 \h  \* MERGEFORMAT </w:instrText>
      </w:r>
      <w:r w:rsidR="003C7AEB">
        <w:fldChar w:fldCharType="separate"/>
      </w:r>
      <w:r w:rsidR="0005759A" w:rsidRPr="0005759A">
        <w:t xml:space="preserve">Figure </w:t>
      </w:r>
      <w:r w:rsidR="0005759A" w:rsidRPr="0005759A">
        <w:rPr>
          <w:noProof/>
        </w:rPr>
        <w:t>10</w:t>
      </w:r>
      <w:r w:rsidR="003C7AEB">
        <w:fldChar w:fldCharType="end"/>
      </w:r>
      <w:r w:rsidRPr="00C95F78">
        <w:t xml:space="preserve"> and </w:t>
      </w:r>
      <w:r w:rsidR="003C7AEB">
        <w:fldChar w:fldCharType="begin"/>
      </w:r>
      <w:r w:rsidR="003C7AEB">
        <w:instrText xml:space="preserve"> REF _Ref262294375 \h  \* MERGEFORMAT </w:instrText>
      </w:r>
      <w:r w:rsidR="003C7AEB">
        <w:fldChar w:fldCharType="separate"/>
      </w:r>
      <w:r w:rsidR="0005759A" w:rsidRPr="0005759A">
        <w:t xml:space="preserve">Figure </w:t>
      </w:r>
      <w:r w:rsidR="0005759A" w:rsidRPr="0005759A">
        <w:rPr>
          <w:noProof/>
        </w:rPr>
        <w:t>11</w:t>
      </w:r>
      <w:r w:rsidR="003C7AEB">
        <w:fldChar w:fldCharType="end"/>
      </w:r>
      <w:r w:rsidRPr="00C95F78">
        <w:t>.</w:t>
      </w:r>
      <w:r w:rsidR="00006E10" w:rsidRPr="00C95F78">
        <w:rPr>
          <w:sz w:val="36"/>
          <w:szCs w:val="36"/>
        </w:rPr>
        <w:br w:type="page"/>
      </w:r>
    </w:p>
    <w:p w:rsidR="00B076B8" w:rsidRDefault="00B076B8" w:rsidP="00E3629A">
      <w:pPr>
        <w:pStyle w:val="Heading1"/>
        <w:numPr>
          <w:ilvl w:val="0"/>
          <w:numId w:val="1"/>
        </w:numPr>
        <w:spacing w:before="0" w:line="240" w:lineRule="auto"/>
        <w:ind w:left="0"/>
        <w:contextualSpacing/>
        <w:jc w:val="center"/>
        <w:rPr>
          <w:rFonts w:asciiTheme="minorHAnsi" w:hAnsiTheme="minorHAnsi"/>
          <w:sz w:val="36"/>
          <w:szCs w:val="36"/>
        </w:rPr>
      </w:pPr>
      <w:bookmarkStart w:id="32" w:name="_Toc263688571"/>
      <w:r w:rsidRPr="00C95F78">
        <w:rPr>
          <w:rFonts w:asciiTheme="minorHAnsi" w:hAnsiTheme="minorHAnsi"/>
          <w:sz w:val="36"/>
          <w:szCs w:val="36"/>
        </w:rPr>
        <w:t>Transport Markets</w:t>
      </w:r>
      <w:bookmarkEnd w:id="32"/>
    </w:p>
    <w:p w:rsidR="00256D0C" w:rsidRPr="00256D0C" w:rsidRDefault="00256D0C" w:rsidP="00BB1A5E">
      <w:pPr>
        <w:spacing w:line="240" w:lineRule="auto"/>
        <w:jc w:val="both"/>
      </w:pPr>
    </w:p>
    <w:p w:rsidR="00B076B8" w:rsidRPr="00C95F78" w:rsidRDefault="00B076B8"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33" w:name="_Toc263688572"/>
      <w:r w:rsidRPr="00C95F78">
        <w:rPr>
          <w:rFonts w:asciiTheme="minorHAnsi" w:hAnsiTheme="minorHAnsi"/>
          <w:color w:val="365F91" w:themeColor="accent1" w:themeShade="BF"/>
          <w:sz w:val="30"/>
          <w:szCs w:val="30"/>
        </w:rPr>
        <w:t>Market Summary</w:t>
      </w:r>
      <w:bookmarkEnd w:id="33"/>
    </w:p>
    <w:p w:rsidR="005A48E2" w:rsidRPr="00C95F78" w:rsidRDefault="005A48E2" w:rsidP="00BB1A5E">
      <w:pPr>
        <w:autoSpaceDE w:val="0"/>
        <w:autoSpaceDN w:val="0"/>
        <w:adjustRightInd w:val="0"/>
        <w:spacing w:after="0" w:line="240" w:lineRule="auto"/>
        <w:contextualSpacing/>
        <w:jc w:val="both"/>
      </w:pPr>
    </w:p>
    <w:p w:rsidR="005A48E2" w:rsidRPr="00C95F78" w:rsidRDefault="00463469" w:rsidP="00BB1A5E">
      <w:pPr>
        <w:autoSpaceDE w:val="0"/>
        <w:autoSpaceDN w:val="0"/>
        <w:adjustRightInd w:val="0"/>
        <w:spacing w:after="0" w:line="240" w:lineRule="auto"/>
        <w:contextualSpacing/>
        <w:jc w:val="both"/>
      </w:pPr>
      <w:r w:rsidRPr="00C95F78">
        <w:t>The dominant transport market is formed by the automotive industry, although marine and rail transport is also important. The markets for copper are located at the point of manufacturing, and do not necessarily correspond to the points of purchase. While emerging markets are taking an increasing share of purchasing in the transport markets, and their production is growing even faster, Europe remains a major contributor</w:t>
      </w:r>
      <w:r w:rsidR="003820E3" w:rsidRPr="00C95F78">
        <w:t xml:space="preserve"> to world vehicle production.</w:t>
      </w:r>
    </w:p>
    <w:p w:rsidR="005A48E2" w:rsidRPr="00C95F78" w:rsidRDefault="005A48E2" w:rsidP="00BB1A5E">
      <w:pPr>
        <w:autoSpaceDE w:val="0"/>
        <w:autoSpaceDN w:val="0"/>
        <w:adjustRightInd w:val="0"/>
        <w:spacing w:after="0" w:line="240" w:lineRule="auto"/>
        <w:contextualSpacing/>
        <w:jc w:val="both"/>
      </w:pPr>
    </w:p>
    <w:p w:rsidR="005A48E2" w:rsidRPr="00C95F78" w:rsidRDefault="00463469" w:rsidP="00BB1A5E">
      <w:pPr>
        <w:autoSpaceDE w:val="0"/>
        <w:autoSpaceDN w:val="0"/>
        <w:adjustRightInd w:val="0"/>
        <w:spacing w:after="0" w:line="240" w:lineRule="auto"/>
        <w:contextualSpacing/>
        <w:jc w:val="both"/>
      </w:pPr>
      <w:r w:rsidRPr="00C95F78">
        <w:t xml:space="preserve">As it stands, transport markets account for around 10% of all copper use. In the following analysis, we are looking at the incremental markets that are created by the use of alternative technologies. The technologies concerned are almost exclusively </w:t>
      </w:r>
      <w:r w:rsidR="003820E3" w:rsidRPr="00C95F78">
        <w:t>created by the imperative to</w:t>
      </w:r>
      <w:r w:rsidRPr="00C95F78">
        <w:t xml:space="preserve"> cut CO</w:t>
      </w:r>
      <w:r w:rsidRPr="00C95F78">
        <w:rPr>
          <w:vertAlign w:val="subscript"/>
        </w:rPr>
        <w:t>2</w:t>
      </w:r>
      <w:r w:rsidRPr="00C95F78">
        <w:t xml:space="preserve"> emissions, although reducing oil dependency is an important secondary objective.</w:t>
      </w:r>
    </w:p>
    <w:p w:rsidR="005A48E2" w:rsidRPr="00C95F78" w:rsidRDefault="005A48E2" w:rsidP="00BB1A5E">
      <w:pPr>
        <w:autoSpaceDE w:val="0"/>
        <w:autoSpaceDN w:val="0"/>
        <w:adjustRightInd w:val="0"/>
        <w:spacing w:after="0" w:line="240" w:lineRule="auto"/>
        <w:contextualSpacing/>
        <w:jc w:val="both"/>
      </w:pPr>
    </w:p>
    <w:p w:rsidR="004D6789" w:rsidRDefault="003E4419"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34" w:name="_Toc263688573"/>
      <w:r w:rsidRPr="00C95F78">
        <w:rPr>
          <w:rFonts w:asciiTheme="minorHAnsi" w:hAnsiTheme="minorHAnsi"/>
          <w:color w:val="365F91" w:themeColor="accent1" w:themeShade="BF"/>
          <w:sz w:val="30"/>
          <w:szCs w:val="30"/>
        </w:rPr>
        <w:t>Road Vehicles</w:t>
      </w:r>
      <w:bookmarkEnd w:id="34"/>
    </w:p>
    <w:p w:rsidR="00563FAC" w:rsidRPr="00563FAC" w:rsidRDefault="00563FAC" w:rsidP="00BB1A5E">
      <w:pPr>
        <w:spacing w:line="240" w:lineRule="auto"/>
        <w:contextualSpacing/>
        <w:jc w:val="both"/>
        <w:rPr>
          <w:sz w:val="2"/>
          <w:szCs w:val="2"/>
        </w:rPr>
      </w:pPr>
    </w:p>
    <w:p w:rsidR="00563FAC" w:rsidRPr="00563FAC" w:rsidRDefault="00563FAC"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35" w:name="_Toc263688574"/>
      <w:r w:rsidRPr="00563FAC">
        <w:rPr>
          <w:rFonts w:asciiTheme="minorHAnsi" w:hAnsiTheme="minorHAnsi"/>
          <w:color w:val="365F91" w:themeColor="accent1" w:themeShade="BF"/>
          <w:sz w:val="26"/>
          <w:szCs w:val="26"/>
        </w:rPr>
        <w:t>Sector background</w:t>
      </w:r>
      <w:bookmarkEnd w:id="35"/>
    </w:p>
    <w:p w:rsidR="005A48E2" w:rsidRPr="00C95F78" w:rsidRDefault="005A48E2" w:rsidP="00BB1A5E">
      <w:pPr>
        <w:spacing w:after="0" w:line="240" w:lineRule="auto"/>
        <w:contextualSpacing/>
        <w:jc w:val="both"/>
      </w:pPr>
    </w:p>
    <w:p w:rsidR="005A48E2" w:rsidRPr="00C95F78" w:rsidRDefault="00B6394A" w:rsidP="00BB1A5E">
      <w:pPr>
        <w:spacing w:after="0" w:line="240" w:lineRule="auto"/>
        <w:contextualSpacing/>
        <w:jc w:val="both"/>
      </w:pPr>
      <w:r w:rsidRPr="00C95F78">
        <w:t xml:space="preserve">The </w:t>
      </w:r>
      <w:r w:rsidR="007306DA" w:rsidRPr="00C95F78">
        <w:t xml:space="preserve">world </w:t>
      </w:r>
      <w:r w:rsidRPr="00C95F78">
        <w:t xml:space="preserve">market for road vehicles in 2010 is forecast to be a little short of </w:t>
      </w:r>
      <w:r w:rsidR="001B029A" w:rsidRPr="00C95F78">
        <w:t>70 million units. While up substantially on 2009, this figure is lower than in 2008. In total, the automotive sector accounts for around 1.9 Mt of copper use, more than three quarters of which is in electrical systems. Europe has a 25% share of this market.</w:t>
      </w:r>
    </w:p>
    <w:p w:rsidR="005A48E2" w:rsidRPr="00C95F78" w:rsidRDefault="005A48E2" w:rsidP="00BB1A5E">
      <w:pPr>
        <w:spacing w:after="0" w:line="240" w:lineRule="auto"/>
        <w:contextualSpacing/>
        <w:jc w:val="both"/>
      </w:pPr>
    </w:p>
    <w:p w:rsidR="005A48E2" w:rsidRPr="00C95F78" w:rsidRDefault="001B029A" w:rsidP="00BB1A5E">
      <w:pPr>
        <w:spacing w:after="0" w:line="240" w:lineRule="auto"/>
        <w:contextualSpacing/>
        <w:jc w:val="both"/>
      </w:pPr>
      <w:r w:rsidRPr="00C95F78">
        <w:t xml:space="preserve">The scale of the automotive market means that any major introduction of copper intensive new technology will inevitably create a large new market for copper. A relatively healthy 3.8% p.a. growth in underlying global vehicle output </w:t>
      </w:r>
      <w:r w:rsidR="003820E3" w:rsidRPr="00C95F78">
        <w:t>until 2020 will provide additional impetus to any such development</w:t>
      </w:r>
      <w:r w:rsidRPr="00C95F78">
        <w:t xml:space="preserve">, although output of vehicles </w:t>
      </w:r>
      <w:r w:rsidR="003820E3" w:rsidRPr="00C95F78">
        <w:t xml:space="preserve">in Europe </w:t>
      </w:r>
      <w:r w:rsidRPr="00C95F78">
        <w:t>is forecast to grow a</w:t>
      </w:r>
      <w:r w:rsidR="004C0E72" w:rsidRPr="00C95F78">
        <w:t>t a more modest compound rate of 2.8% p.a. Germany is b</w:t>
      </w:r>
      <w:r w:rsidR="009B5D0C" w:rsidRPr="00C95F78">
        <w:t>y far Europe’s largest producer</w:t>
      </w:r>
      <w:r w:rsidR="003820E3" w:rsidRPr="00C95F78">
        <w:t>.</w:t>
      </w:r>
      <w:r w:rsidR="004C0E72" w:rsidRPr="00C95F78">
        <w:t xml:space="preserve"> France, Italy and Spain also have a significant automotive industry.</w:t>
      </w:r>
    </w:p>
    <w:p w:rsidR="005A48E2" w:rsidRPr="00C95F78" w:rsidRDefault="005A48E2" w:rsidP="00BB1A5E">
      <w:pPr>
        <w:spacing w:after="0" w:line="240" w:lineRule="auto"/>
        <w:contextualSpacing/>
        <w:jc w:val="both"/>
      </w:pPr>
    </w:p>
    <w:p w:rsidR="005A48E2" w:rsidRPr="00C95F78" w:rsidRDefault="003820E3" w:rsidP="00BB1A5E">
      <w:pPr>
        <w:spacing w:after="0" w:line="240" w:lineRule="auto"/>
        <w:contextualSpacing/>
        <w:jc w:val="both"/>
      </w:pPr>
      <w:r w:rsidRPr="00C95F78">
        <w:t>T</w:t>
      </w:r>
      <w:r w:rsidR="004C0E72" w:rsidRPr="00C95F78">
        <w:t>he joint priorities of</w:t>
      </w:r>
      <w:r w:rsidR="00463469" w:rsidRPr="00C95F78">
        <w:t xml:space="preserve"> reducing global dependency on oil and cut</w:t>
      </w:r>
      <w:r w:rsidRPr="00C95F78">
        <w:t>ting</w:t>
      </w:r>
      <w:r w:rsidR="00463469" w:rsidRPr="00C95F78">
        <w:t xml:space="preserve"> CO</w:t>
      </w:r>
      <w:r w:rsidR="00463469" w:rsidRPr="00C95F78">
        <w:rPr>
          <w:vertAlign w:val="subscript"/>
        </w:rPr>
        <w:t>2</w:t>
      </w:r>
      <w:r w:rsidR="00463469" w:rsidRPr="00C95F78">
        <w:t xml:space="preserve"> emissions</w:t>
      </w:r>
      <w:r w:rsidRPr="00C95F78">
        <w:t xml:space="preserve"> are deeply affecting the</w:t>
      </w:r>
      <w:r w:rsidR="00463469" w:rsidRPr="00C95F78">
        <w:t xml:space="preserve"> automotive industry. Driven by both “sticks” of increasingly stringent government regulations</w:t>
      </w:r>
      <w:r w:rsidR="00995864" w:rsidRPr="00C95F78">
        <w:t xml:space="preserve"> on average CO</w:t>
      </w:r>
      <w:r w:rsidR="00995864" w:rsidRPr="00C95F78">
        <w:rPr>
          <w:vertAlign w:val="subscript"/>
        </w:rPr>
        <w:t>2</w:t>
      </w:r>
      <w:r w:rsidR="00995864" w:rsidRPr="00C95F78">
        <w:t xml:space="preserve"> emissions by the vehicles produced</w:t>
      </w:r>
      <w:r w:rsidR="00463469" w:rsidRPr="00C95F78">
        <w:t xml:space="preserve"> and the “carrot” of enhanced public approval </w:t>
      </w:r>
      <w:r w:rsidR="00995864" w:rsidRPr="00C95F78">
        <w:t xml:space="preserve">(and increased sale) </w:t>
      </w:r>
      <w:r w:rsidR="00463469" w:rsidRPr="00C95F78">
        <w:t>of their brands, virtually all leading car manufacturers are exploring ways to reduce their vehicles’ carbon diox</w:t>
      </w:r>
      <w:r w:rsidR="00995864" w:rsidRPr="00C95F78">
        <w:t>ide emissions and increasing</w:t>
      </w:r>
      <w:r w:rsidR="00463469" w:rsidRPr="00C95F78">
        <w:t xml:space="preserve"> fuel efficiency. </w:t>
      </w:r>
      <w:r w:rsidR="00995864" w:rsidRPr="00C95F78">
        <w:t xml:space="preserve">From the consumers’ point of view, differential taxation between fuel efficient and non-polluting vehicles and standard vehicle types is increasing the attractiveness of new vehicle types. </w:t>
      </w:r>
    </w:p>
    <w:p w:rsidR="005A48E2" w:rsidRPr="00C95F78" w:rsidRDefault="005A48E2" w:rsidP="00BB1A5E">
      <w:pPr>
        <w:autoSpaceDE w:val="0"/>
        <w:autoSpaceDN w:val="0"/>
        <w:adjustRightInd w:val="0"/>
        <w:spacing w:after="0" w:line="240" w:lineRule="auto"/>
        <w:contextualSpacing/>
        <w:jc w:val="both"/>
      </w:pPr>
    </w:p>
    <w:p w:rsidR="005A48E2" w:rsidRPr="00C95F78" w:rsidRDefault="00F24E89" w:rsidP="00BB1A5E">
      <w:pPr>
        <w:autoSpaceDE w:val="0"/>
        <w:autoSpaceDN w:val="0"/>
        <w:adjustRightInd w:val="0"/>
        <w:spacing w:after="0" w:line="240" w:lineRule="auto"/>
        <w:contextualSpacing/>
        <w:jc w:val="both"/>
      </w:pPr>
      <w:r w:rsidRPr="00C95F78">
        <w:t>The rationale behind the re-invention of the road vehicle seems inescapable. The need to reduce carbon emissions is recognised worldwide. Around 15% of global carbon emissions come from vehicles, equating to roughly eight billion metric tons per year</w:t>
      </w:r>
      <w:r w:rsidRPr="00C95F78">
        <w:rPr>
          <w:rStyle w:val="FootnoteReference"/>
        </w:rPr>
        <w:footnoteReference w:id="1"/>
      </w:r>
      <w:r w:rsidRPr="00C95F78">
        <w:t xml:space="preserve">. </w:t>
      </w:r>
      <w:r w:rsidR="00E52764" w:rsidRPr="00C95F78">
        <w:t>The share in Europe</w:t>
      </w:r>
      <w:r w:rsidR="003820E3" w:rsidRPr="00C95F78">
        <w:t>’s emissions</w:t>
      </w:r>
      <w:r w:rsidR="00E52764" w:rsidRPr="00C95F78">
        <w:t xml:space="preserve"> is higher</w:t>
      </w:r>
      <w:r w:rsidR="007306DA" w:rsidRPr="00C95F78">
        <w:t xml:space="preserve">, </w:t>
      </w:r>
      <w:r w:rsidR="00E52764" w:rsidRPr="00C95F78">
        <w:t xml:space="preserve">around 19%. </w:t>
      </w:r>
    </w:p>
    <w:p w:rsidR="005A48E2" w:rsidRPr="00C95F78" w:rsidRDefault="005A48E2" w:rsidP="00BB1A5E">
      <w:pPr>
        <w:autoSpaceDE w:val="0"/>
        <w:autoSpaceDN w:val="0"/>
        <w:adjustRightInd w:val="0"/>
        <w:spacing w:after="0" w:line="240" w:lineRule="auto"/>
        <w:contextualSpacing/>
        <w:jc w:val="both"/>
      </w:pPr>
    </w:p>
    <w:p w:rsidR="005A48E2" w:rsidRPr="00C95F78" w:rsidRDefault="00F24E89" w:rsidP="00BB1A5E">
      <w:pPr>
        <w:autoSpaceDE w:val="0"/>
        <w:autoSpaceDN w:val="0"/>
        <w:adjustRightInd w:val="0"/>
        <w:spacing w:after="0" w:line="240" w:lineRule="auto"/>
        <w:contextualSpacing/>
        <w:jc w:val="both"/>
      </w:pPr>
      <w:r w:rsidRPr="00C95F78">
        <w:t>Not o</w:t>
      </w:r>
      <w:r w:rsidR="003820E3" w:rsidRPr="00C95F78">
        <w:t>nly is the volume huge, vehicle energy consumption emissions is an</w:t>
      </w:r>
      <w:r w:rsidRPr="00C95F78">
        <w:t xml:space="preserve"> area that can be addressed relatively easily by technology change. Mo</w:t>
      </w:r>
      <w:r w:rsidR="00F374E7" w:rsidRPr="00C95F78">
        <w:t>reover, road vehicles are a very large</w:t>
      </w:r>
      <w:r w:rsidRPr="00C95F78">
        <w:t xml:space="preserve"> consumer of oil-based products. Oil is not only a finite resource, it is also uneven in its geographical distribution, giving unwelcome political power to those countries that are rich in this resource.</w:t>
      </w:r>
    </w:p>
    <w:p w:rsidR="00F374E7" w:rsidRPr="00C95F78" w:rsidRDefault="00F374E7" w:rsidP="00BB1A5E">
      <w:pPr>
        <w:autoSpaceDE w:val="0"/>
        <w:autoSpaceDN w:val="0"/>
        <w:adjustRightInd w:val="0"/>
        <w:spacing w:after="0" w:line="240" w:lineRule="auto"/>
        <w:contextualSpacing/>
        <w:jc w:val="both"/>
      </w:pPr>
      <w:r w:rsidRPr="00C95F78">
        <w:t>While hybrid electric vehicles (HEVs) have been around for some time, their penetration to date has been slow. HEVs have both a petrol engine and also a supplementary battery driven power train. The slow introduction has partly been a matter of cost, with the expense of batteries putting the price outside the easy reach of most car buyers. There has, however, been reluctance by the auto industry to embrace the new technology. While manufacturers have made a real show of developing the alternative technologies there are few that are manufactured on a commercial scale. Even output of the Toyota Prius, still accounting for more than half of HEV sales, appears to have been constrained, vehicles often selling at above list price.</w:t>
      </w:r>
    </w:p>
    <w:p w:rsidR="00F374E7" w:rsidRPr="00C95F78" w:rsidRDefault="00F374E7" w:rsidP="00BB1A5E">
      <w:pPr>
        <w:autoSpaceDE w:val="0"/>
        <w:autoSpaceDN w:val="0"/>
        <w:adjustRightInd w:val="0"/>
        <w:spacing w:after="0" w:line="240" w:lineRule="auto"/>
        <w:contextualSpacing/>
        <w:jc w:val="both"/>
      </w:pPr>
    </w:p>
    <w:p w:rsidR="005A48E2" w:rsidRPr="00C95F78" w:rsidRDefault="00F374E7" w:rsidP="00BB1A5E">
      <w:pPr>
        <w:autoSpaceDE w:val="0"/>
        <w:autoSpaceDN w:val="0"/>
        <w:adjustRightInd w:val="0"/>
        <w:spacing w:after="0" w:line="240" w:lineRule="auto"/>
        <w:contextualSpacing/>
        <w:jc w:val="both"/>
      </w:pPr>
      <w:r w:rsidRPr="00C95F78">
        <w:t xml:space="preserve">The reluctance of the auto industry to make HEVs is understandable, in that it has a massive investment in traditional </w:t>
      </w:r>
      <w:r w:rsidR="003B6459" w:rsidRPr="00C95F78">
        <w:t xml:space="preserve">Internal Combustion Engine (ICE) </w:t>
      </w:r>
      <w:r w:rsidRPr="00C95F78">
        <w:t>vehicles, and would prefer to capitalise on this rather than go to the expense of retooling to make different vehicle types. With increasing sales of HEVs, a growing sense of technology readiness and growing support of the alternative vehicle types at both government and consumer levels, it appears that the time of the alternative vehicle has come. In 2010 it is clear that Toyota no longer has this market to itself, with major new introductions by both Japanese and US auto companies, and a promised rapid commercialisation in China.</w:t>
      </w:r>
    </w:p>
    <w:p w:rsidR="005A48E2" w:rsidRPr="00C95F78" w:rsidRDefault="005A48E2" w:rsidP="00BB1A5E">
      <w:pPr>
        <w:autoSpaceDE w:val="0"/>
        <w:autoSpaceDN w:val="0"/>
        <w:adjustRightInd w:val="0"/>
        <w:spacing w:after="0" w:line="240" w:lineRule="auto"/>
        <w:contextualSpacing/>
        <w:jc w:val="both"/>
      </w:pPr>
    </w:p>
    <w:p w:rsidR="005A48E2" w:rsidRPr="00C95F78" w:rsidRDefault="00E52764" w:rsidP="00BB1A5E">
      <w:pPr>
        <w:autoSpaceDE w:val="0"/>
        <w:autoSpaceDN w:val="0"/>
        <w:adjustRightInd w:val="0"/>
        <w:spacing w:after="0" w:line="240" w:lineRule="auto"/>
        <w:contextualSpacing/>
        <w:jc w:val="both"/>
      </w:pPr>
      <w:r w:rsidRPr="00C95F78">
        <w:t>For copper the transition to alternative vehicles should mean large incremental copper demand. Electric propulsion means the incorporation of large electric motors and also a high voltage wiring system. There is also some copper directly associated with batteries, and with the external charging infrastructure (where this is required). Although there will also be losses, the redesign of ICE vehicles has positive implications for copper.</w:t>
      </w:r>
    </w:p>
    <w:p w:rsidR="005A48E2" w:rsidRPr="00C95F78" w:rsidRDefault="005A48E2" w:rsidP="00BB1A5E">
      <w:pPr>
        <w:autoSpaceDE w:val="0"/>
        <w:autoSpaceDN w:val="0"/>
        <w:adjustRightInd w:val="0"/>
        <w:spacing w:after="0" w:line="240" w:lineRule="auto"/>
        <w:contextualSpacing/>
        <w:jc w:val="both"/>
      </w:pPr>
    </w:p>
    <w:p w:rsidR="00D71004" w:rsidRPr="00E3629A" w:rsidRDefault="00E3629A" w:rsidP="00E3629A">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36" w:name="_Toc263688575"/>
      <w:r>
        <w:rPr>
          <w:rFonts w:asciiTheme="minorHAnsi" w:hAnsiTheme="minorHAnsi"/>
          <w:color w:val="365F91" w:themeColor="accent1" w:themeShade="BF"/>
          <w:sz w:val="26"/>
          <w:szCs w:val="26"/>
        </w:rPr>
        <w:t>Alternative Technical and Market Solutions</w:t>
      </w:r>
      <w:bookmarkEnd w:id="36"/>
    </w:p>
    <w:p w:rsidR="005A48E2" w:rsidRPr="00C95F78" w:rsidRDefault="005A48E2" w:rsidP="00BB1A5E">
      <w:pPr>
        <w:autoSpaceDE w:val="0"/>
        <w:autoSpaceDN w:val="0"/>
        <w:adjustRightInd w:val="0"/>
        <w:spacing w:after="0" w:line="240" w:lineRule="auto"/>
        <w:contextualSpacing/>
        <w:jc w:val="both"/>
      </w:pPr>
    </w:p>
    <w:p w:rsidR="005A48E2" w:rsidRPr="00C95F78" w:rsidRDefault="00E52764"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ICE Vehicles</w:t>
      </w:r>
      <w:r w:rsidR="00366AB8" w:rsidRPr="00C95F78">
        <w:rPr>
          <w:b/>
          <w:color w:val="365F91" w:themeColor="accent1" w:themeShade="BF"/>
          <w:sz w:val="24"/>
          <w:szCs w:val="24"/>
        </w:rPr>
        <w:t xml:space="preserve"> and Alternative Fuels</w:t>
      </w:r>
    </w:p>
    <w:p w:rsidR="005A48E2" w:rsidRPr="00C95F78" w:rsidRDefault="005A48E2" w:rsidP="00BB1A5E">
      <w:pPr>
        <w:autoSpaceDE w:val="0"/>
        <w:autoSpaceDN w:val="0"/>
        <w:adjustRightInd w:val="0"/>
        <w:spacing w:after="0" w:line="240" w:lineRule="auto"/>
        <w:contextualSpacing/>
        <w:jc w:val="both"/>
      </w:pPr>
    </w:p>
    <w:p w:rsidR="005A48E2" w:rsidRPr="00C95F78" w:rsidRDefault="00B6394A" w:rsidP="00BB1A5E">
      <w:pPr>
        <w:autoSpaceDE w:val="0"/>
        <w:autoSpaceDN w:val="0"/>
        <w:adjustRightInd w:val="0"/>
        <w:spacing w:after="0" w:line="240" w:lineRule="auto"/>
        <w:contextualSpacing/>
        <w:jc w:val="both"/>
      </w:pPr>
      <w:r w:rsidRPr="00C95F78">
        <w:t>While some</w:t>
      </w:r>
      <w:r w:rsidR="00E52764" w:rsidRPr="00C95F78">
        <w:t xml:space="preserve"> form of electric propulsion generally seen as the way forward longer term</w:t>
      </w:r>
      <w:r w:rsidR="006A5824" w:rsidRPr="00C95F78">
        <w:t>, the internal combustion engine still has a lot of fight in it. Indeed, ICE vehicle sales are still expected to be several times higher than all alternative vehicle types in 2020.</w:t>
      </w:r>
    </w:p>
    <w:p w:rsidR="005A48E2" w:rsidRPr="00C95F78" w:rsidRDefault="005A48E2" w:rsidP="00BB1A5E">
      <w:pPr>
        <w:autoSpaceDE w:val="0"/>
        <w:autoSpaceDN w:val="0"/>
        <w:adjustRightInd w:val="0"/>
        <w:spacing w:after="0" w:line="240" w:lineRule="auto"/>
        <w:contextualSpacing/>
        <w:jc w:val="both"/>
      </w:pPr>
    </w:p>
    <w:p w:rsidR="005A48E2" w:rsidRPr="00C95F78" w:rsidRDefault="006A5824" w:rsidP="00BB1A5E">
      <w:pPr>
        <w:autoSpaceDE w:val="0"/>
        <w:autoSpaceDN w:val="0"/>
        <w:adjustRightInd w:val="0"/>
        <w:spacing w:after="0" w:line="240" w:lineRule="auto"/>
        <w:contextualSpacing/>
        <w:jc w:val="both"/>
      </w:pPr>
      <w:r w:rsidRPr="00C95F78">
        <w:t>ICE vehicle technology is not static. It is responding quite quickly to the requirement for lower fuel consumption, the use of more sustainable fuel type and low CO</w:t>
      </w:r>
      <w:r w:rsidRPr="00C95F78">
        <w:rPr>
          <w:vertAlign w:val="subscript"/>
        </w:rPr>
        <w:t>2</w:t>
      </w:r>
      <w:r w:rsidRPr="00C95F78">
        <w:t xml:space="preserve"> emissions. The past decade has seen a strong development of the diesel engine, with a positive impact on fuel consumption. Although, with its lower calorific value, one may expect diesel propulsion to be less efficient than petrol engine propulsion, the ability of diesel engines to work efficiently under partial loads makes this the more efficient vehicle type today.</w:t>
      </w:r>
    </w:p>
    <w:p w:rsidR="005A48E2" w:rsidRPr="00C95F78" w:rsidRDefault="005A48E2" w:rsidP="00BB1A5E">
      <w:pPr>
        <w:autoSpaceDE w:val="0"/>
        <w:autoSpaceDN w:val="0"/>
        <w:adjustRightInd w:val="0"/>
        <w:spacing w:after="0" w:line="240" w:lineRule="auto"/>
        <w:contextualSpacing/>
        <w:jc w:val="both"/>
      </w:pPr>
    </w:p>
    <w:p w:rsidR="005A48E2" w:rsidRPr="00C95F78" w:rsidRDefault="006A5824" w:rsidP="00BB1A5E">
      <w:pPr>
        <w:autoSpaceDE w:val="0"/>
        <w:autoSpaceDN w:val="0"/>
        <w:adjustRightInd w:val="0"/>
        <w:spacing w:after="0" w:line="240" w:lineRule="auto"/>
        <w:contextualSpacing/>
        <w:jc w:val="both"/>
      </w:pPr>
      <w:r w:rsidRPr="00C95F78">
        <w:t>While efficiency of ICE vehicles may be improving, they still use oil resources, making long term security of fuel supply an issue. This issue has been a</w:t>
      </w:r>
      <w:r w:rsidR="00366AB8" w:rsidRPr="00C95F78">
        <w:t>ddressed to some degree by the use of alternative fuels. Compressed natural gas (CNG) is one solution, but as this is also hydrocarbon based it is not thought to have a major future. Longer term, the use of hydrogen-based fuel cells may become very important indeed, but the technology is still a few years from becoming commercial (see below).</w:t>
      </w:r>
    </w:p>
    <w:p w:rsidR="005A48E2" w:rsidRPr="00C95F78" w:rsidRDefault="005A48E2" w:rsidP="00BB1A5E">
      <w:pPr>
        <w:autoSpaceDE w:val="0"/>
        <w:autoSpaceDN w:val="0"/>
        <w:adjustRightInd w:val="0"/>
        <w:spacing w:after="0" w:line="240" w:lineRule="auto"/>
        <w:contextualSpacing/>
        <w:jc w:val="both"/>
      </w:pPr>
    </w:p>
    <w:p w:rsidR="005A48E2" w:rsidRPr="00C95F78" w:rsidRDefault="00366AB8" w:rsidP="00BB1A5E">
      <w:pPr>
        <w:autoSpaceDE w:val="0"/>
        <w:autoSpaceDN w:val="0"/>
        <w:adjustRightInd w:val="0"/>
        <w:spacing w:after="0" w:line="240" w:lineRule="auto"/>
        <w:contextualSpacing/>
        <w:jc w:val="both"/>
      </w:pPr>
      <w:r w:rsidRPr="00C95F78">
        <w:t>For now, second generation</w:t>
      </w:r>
      <w:r w:rsidR="00972115" w:rsidRPr="00C95F78">
        <w:t xml:space="preserve"> bio</w:t>
      </w:r>
      <w:r w:rsidRPr="00C95F78">
        <w:t>-</w:t>
      </w:r>
      <w:r w:rsidR="00972115" w:rsidRPr="00C95F78">
        <w:t>fuels (both biodiesel and bio-ethanol)</w:t>
      </w:r>
      <w:r w:rsidRPr="00C95F78">
        <w:t xml:space="preserve"> are seen as the way forward. These are</w:t>
      </w:r>
      <w:r w:rsidR="00972115" w:rsidRPr="00C95F78">
        <w:t xml:space="preserve"> made mainly by processing plant material. Such fuel sources are also used for biomass electricity generation. While biomass-based fuels may be regarded as sustainable, they can displace food crops, and the cultivation of former rainforest in Brazil for biomass crops has been associated with a net increase in CO</w:t>
      </w:r>
      <w:r w:rsidR="00972115" w:rsidRPr="00C95F78">
        <w:rPr>
          <w:vertAlign w:val="subscript"/>
        </w:rPr>
        <w:t xml:space="preserve">2 </w:t>
      </w:r>
      <w:r w:rsidR="00972115" w:rsidRPr="00C95F78">
        <w:t>in the atmosphere. Clearly, bio</w:t>
      </w:r>
      <w:r w:rsidRPr="00C95F78">
        <w:t>-</w:t>
      </w:r>
      <w:r w:rsidR="00972115" w:rsidRPr="00C95F78">
        <w:t>fuel is not the best solution long term.</w:t>
      </w:r>
    </w:p>
    <w:p w:rsidR="005A48E2" w:rsidRPr="00C95F78" w:rsidRDefault="005A48E2" w:rsidP="00BB1A5E">
      <w:pPr>
        <w:autoSpaceDE w:val="0"/>
        <w:autoSpaceDN w:val="0"/>
        <w:adjustRightInd w:val="0"/>
        <w:spacing w:after="0" w:line="240" w:lineRule="auto"/>
        <w:contextualSpacing/>
        <w:jc w:val="both"/>
      </w:pPr>
    </w:p>
    <w:p w:rsidR="005A48E2" w:rsidRPr="00C95F78" w:rsidRDefault="00972115" w:rsidP="00BB1A5E">
      <w:pPr>
        <w:autoSpaceDE w:val="0"/>
        <w:autoSpaceDN w:val="0"/>
        <w:adjustRightInd w:val="0"/>
        <w:spacing w:after="0" w:line="240" w:lineRule="auto"/>
        <w:contextualSpacing/>
        <w:jc w:val="both"/>
      </w:pPr>
      <w:r w:rsidRPr="00C95F78">
        <w:t>The use of bio</w:t>
      </w:r>
      <w:r w:rsidR="00366AB8" w:rsidRPr="00C95F78">
        <w:t>-</w:t>
      </w:r>
      <w:r w:rsidRPr="00C95F78">
        <w:t>fuel itself has no impact on the use of copper. Increasing the efficiency in the use of this and oil-based fuel, however, can have a positive impact.</w:t>
      </w:r>
      <w:r w:rsidR="00366AB8" w:rsidRPr="00C95F78">
        <w:t xml:space="preserve"> To date, the main focus has been on gasoline or diesel based direct injection, reduction of engine displacement by turbo</w:t>
      </w:r>
      <w:r w:rsidR="00293562" w:rsidRPr="00C95F78">
        <w:t>-</w:t>
      </w:r>
      <w:r w:rsidR="00366AB8" w:rsidRPr="00C95F78">
        <w:t xml:space="preserve">charging and reduction of internal engine resistance. </w:t>
      </w:r>
      <w:r w:rsidR="00293562" w:rsidRPr="00C95F78">
        <w:t>Longer term, the wider use of regenerative braking and perhaps also electromagnetic transmission could become important.</w:t>
      </w:r>
    </w:p>
    <w:p w:rsidR="005A48E2" w:rsidRPr="00C95F78" w:rsidRDefault="005A48E2" w:rsidP="00BB1A5E">
      <w:pPr>
        <w:autoSpaceDE w:val="0"/>
        <w:autoSpaceDN w:val="0"/>
        <w:adjustRightInd w:val="0"/>
        <w:spacing w:after="0" w:line="240" w:lineRule="auto"/>
        <w:contextualSpacing/>
        <w:jc w:val="both"/>
      </w:pPr>
    </w:p>
    <w:p w:rsidR="005A48E2" w:rsidRPr="00C95F78" w:rsidRDefault="00293562"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HEVs, PHEVs and BEVs</w:t>
      </w:r>
    </w:p>
    <w:p w:rsidR="005A48E2" w:rsidRPr="00C95F78" w:rsidRDefault="005A48E2" w:rsidP="00BB1A5E">
      <w:pPr>
        <w:autoSpaceDE w:val="0"/>
        <w:autoSpaceDN w:val="0"/>
        <w:adjustRightInd w:val="0"/>
        <w:spacing w:after="0" w:line="240" w:lineRule="auto"/>
        <w:contextualSpacing/>
        <w:jc w:val="both"/>
      </w:pPr>
    </w:p>
    <w:p w:rsidR="005A48E2" w:rsidRPr="00C95F78" w:rsidRDefault="00293562" w:rsidP="00BB1A5E">
      <w:pPr>
        <w:autoSpaceDE w:val="0"/>
        <w:autoSpaceDN w:val="0"/>
        <w:adjustRightInd w:val="0"/>
        <w:spacing w:after="0" w:line="240" w:lineRule="auto"/>
        <w:contextualSpacing/>
        <w:jc w:val="both"/>
      </w:pPr>
      <w:r w:rsidRPr="00C95F78">
        <w:t xml:space="preserve">Longer term, electrification of the </w:t>
      </w:r>
      <w:r w:rsidR="009C64C9" w:rsidRPr="00C95F78">
        <w:t xml:space="preserve">all or part of the </w:t>
      </w:r>
      <w:r w:rsidRPr="00C95F78">
        <w:t>drive train is seen as the way to ensure lower CO</w:t>
      </w:r>
      <w:r w:rsidRPr="00C95F78">
        <w:rPr>
          <w:vertAlign w:val="subscript"/>
        </w:rPr>
        <w:t xml:space="preserve">2 </w:t>
      </w:r>
      <w:r w:rsidRPr="00C95F78">
        <w:t>emissions</w:t>
      </w:r>
      <w:r w:rsidR="009C64C9" w:rsidRPr="00C95F78">
        <w:t>, perhaps in combination with bio-fuel use</w:t>
      </w:r>
      <w:r w:rsidRPr="00C95F78">
        <w:t>. Electric power in itself creates no emission. To be truly carbon neutral and sustainable, however, the generation of electricity that powers the electric motor would also have to be carbon neutral. The full carbon equation of the electric or part-electric vehicle, therefore, depends on the source of electricity, the energy efficiency of the vehicle, and longer term also on the ability to resell electricity stored in the vehicle, thus reducing the fuel used in electricity generation</w:t>
      </w:r>
      <w:r w:rsidR="009C64C9" w:rsidRPr="00C95F78">
        <w:t xml:space="preserve"> for the grid </w:t>
      </w:r>
      <w:r w:rsidRPr="00C95F78">
        <w:t>through peak shaving.</w:t>
      </w:r>
    </w:p>
    <w:p w:rsidR="005A48E2" w:rsidRPr="00C95F78" w:rsidRDefault="005A48E2" w:rsidP="00BB1A5E">
      <w:pPr>
        <w:autoSpaceDE w:val="0"/>
        <w:autoSpaceDN w:val="0"/>
        <w:adjustRightInd w:val="0"/>
        <w:spacing w:after="0" w:line="240" w:lineRule="auto"/>
        <w:contextualSpacing/>
        <w:jc w:val="both"/>
      </w:pPr>
    </w:p>
    <w:p w:rsidR="005A48E2" w:rsidRPr="00C95F78" w:rsidRDefault="009B5D0C" w:rsidP="00BB1A5E">
      <w:pPr>
        <w:autoSpaceDE w:val="0"/>
        <w:autoSpaceDN w:val="0"/>
        <w:adjustRightInd w:val="0"/>
        <w:spacing w:after="0" w:line="240" w:lineRule="auto"/>
        <w:contextualSpacing/>
        <w:jc w:val="both"/>
      </w:pPr>
      <w:r w:rsidRPr="00C95F78">
        <w:t>The envisaged development of the electric vehicle is sequential, and largely dependent on battery performance. With relatively limited storage ability and high cost, to date batteries are used as little more than an auxiliary power source supporting a petrol engine. The hybrid electric vehicle (HEV) fleet presently in operation</w:t>
      </w:r>
      <w:r w:rsidR="00F9547D" w:rsidRPr="00C95F78">
        <w:t>,</w:t>
      </w:r>
      <w:r w:rsidRPr="00C95F78">
        <w:t xml:space="preserve"> uses a petrol engine as its main drive train</w:t>
      </w:r>
      <w:r w:rsidR="00FE67B9" w:rsidRPr="00C95F78">
        <w:t xml:space="preserve">, translating a small portion of the kinetic energy created by its use to charge a battery that in turn powers an electric motor. </w:t>
      </w:r>
      <w:r w:rsidR="009C64C9" w:rsidRPr="00C95F78">
        <w:t>The principal capture of kinetic energy is through a regenerative braking, the electricity captured in this process being used to offset the high energy requirement required during acceleration.</w:t>
      </w:r>
    </w:p>
    <w:p w:rsidR="005A48E2" w:rsidRPr="00C95F78" w:rsidRDefault="005A48E2" w:rsidP="00BB1A5E">
      <w:pPr>
        <w:autoSpaceDE w:val="0"/>
        <w:autoSpaceDN w:val="0"/>
        <w:adjustRightInd w:val="0"/>
        <w:spacing w:after="0" w:line="240" w:lineRule="auto"/>
        <w:contextualSpacing/>
        <w:jc w:val="both"/>
      </w:pPr>
    </w:p>
    <w:p w:rsidR="005A48E2" w:rsidRPr="00C95F78" w:rsidRDefault="00056522" w:rsidP="00BB1A5E">
      <w:pPr>
        <w:autoSpaceDE w:val="0"/>
        <w:autoSpaceDN w:val="0"/>
        <w:adjustRightInd w:val="0"/>
        <w:spacing w:after="0" w:line="240" w:lineRule="auto"/>
        <w:jc w:val="both"/>
      </w:pPr>
      <w:r w:rsidRPr="00C95F78">
        <w:t xml:space="preserve">The development stages of the HEV are indicated in the </w:t>
      </w:r>
      <w:r w:rsidR="003C7AEB">
        <w:fldChar w:fldCharType="begin"/>
      </w:r>
      <w:r w:rsidR="003C7AEB">
        <w:instrText xml:space="preserve"> REF _Ref263147653 \h  \* MERGEFORMAT </w:instrText>
      </w:r>
      <w:r w:rsidR="003C7AEB">
        <w:fldChar w:fldCharType="separate"/>
      </w:r>
      <w:r w:rsidR="0005759A" w:rsidRPr="0005759A">
        <w:t xml:space="preserve">Figure </w:t>
      </w:r>
      <w:r w:rsidR="0005759A" w:rsidRPr="0005759A">
        <w:rPr>
          <w:noProof/>
        </w:rPr>
        <w:t>12</w:t>
      </w:r>
      <w:r w:rsidR="003C7AEB">
        <w:fldChar w:fldCharType="end"/>
      </w:r>
      <w:r w:rsidRPr="00C95F78">
        <w:t xml:space="preserve">below. </w:t>
      </w:r>
      <w:r w:rsidR="00BD6045" w:rsidRPr="00C95F78">
        <w:t>“Micro hybrids” have a small electric engine</w:t>
      </w:r>
      <w:r w:rsidR="00F9547D" w:rsidRPr="00C95F78">
        <w:t xml:space="preserve"> </w:t>
      </w:r>
      <w:r w:rsidR="00E904D2" w:rsidRPr="00C95F78">
        <w:t>that allows</w:t>
      </w:r>
      <w:r w:rsidR="00BD6045" w:rsidRPr="00C95F78">
        <w:t xml:space="preserve"> </w:t>
      </w:r>
      <w:r w:rsidR="00E904D2" w:rsidRPr="00C95F78">
        <w:t xml:space="preserve">it </w:t>
      </w:r>
      <w:r w:rsidR="00BD6045" w:rsidRPr="00C95F78">
        <w:t xml:space="preserve">to be shut down to avoid fuel loss during idling. </w:t>
      </w:r>
      <w:r w:rsidRPr="00C95F78">
        <w:t>The “mild hybrid” contains a small</w:t>
      </w:r>
      <w:r w:rsidRPr="00C95F78">
        <w:rPr>
          <w:b/>
        </w:rPr>
        <w:t xml:space="preserve"> </w:t>
      </w:r>
      <w:r w:rsidRPr="00C95F78">
        <w:t>electric motor that provides a start-stop system, regenerates br</w:t>
      </w:r>
      <w:r w:rsidR="00F9547D" w:rsidRPr="00C95F78">
        <w:t>e</w:t>
      </w:r>
      <w:r w:rsidRPr="00C95F78">
        <w:t xml:space="preserve">aking energy for recharging the battery, and offers acceleration assistance. The “full hybrid” vehicle features both a larger battery and a larger electric motor than the mild hybrid, giving the car electric launching, electric acceleration assistance and electric driving at low speeds. The internal combustion engine is </w:t>
      </w:r>
      <w:r w:rsidR="00BD6045" w:rsidRPr="00C95F78">
        <w:t>still likely to be</w:t>
      </w:r>
      <w:r w:rsidRPr="00C95F78">
        <w:t xml:space="preserve"> the primary </w:t>
      </w:r>
      <w:r w:rsidR="00BD6045" w:rsidRPr="00C95F78">
        <w:t xml:space="preserve">drive </w:t>
      </w:r>
      <w:r w:rsidRPr="00C95F78">
        <w:t>system, with the electric motor used to power the vehicle for short distances or to support the main engine.</w:t>
      </w:r>
    </w:p>
    <w:p w:rsidR="005A48E2" w:rsidRPr="00C95F78" w:rsidRDefault="005A48E2" w:rsidP="00BB1A5E">
      <w:pPr>
        <w:autoSpaceDE w:val="0"/>
        <w:autoSpaceDN w:val="0"/>
        <w:adjustRightInd w:val="0"/>
        <w:spacing w:after="0" w:line="240" w:lineRule="auto"/>
        <w:contextualSpacing/>
        <w:jc w:val="both"/>
      </w:pPr>
    </w:p>
    <w:p w:rsidR="005A48E2" w:rsidRPr="00C95F78" w:rsidRDefault="005A48E2" w:rsidP="00BB1A5E">
      <w:pPr>
        <w:pStyle w:val="ListParagraph"/>
        <w:autoSpaceDE w:val="0"/>
        <w:autoSpaceDN w:val="0"/>
        <w:adjustRightInd w:val="0"/>
        <w:spacing w:after="0" w:line="240" w:lineRule="auto"/>
        <w:ind w:left="0"/>
        <w:jc w:val="both"/>
      </w:pPr>
    </w:p>
    <w:p w:rsidR="005A48E2" w:rsidRPr="00C95F78" w:rsidRDefault="00366AB8" w:rsidP="00BB1A5E">
      <w:pPr>
        <w:pStyle w:val="Caption"/>
        <w:contextualSpacing/>
        <w:jc w:val="center"/>
        <w:rPr>
          <w:sz w:val="28"/>
          <w:szCs w:val="28"/>
        </w:rPr>
      </w:pPr>
      <w:bookmarkStart w:id="37" w:name="_Ref263147653"/>
      <w:bookmarkStart w:id="38" w:name="_Toc26367166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w:t>
      </w:r>
      <w:r w:rsidR="00D50FDC" w:rsidRPr="00C95F78">
        <w:rPr>
          <w:sz w:val="28"/>
          <w:szCs w:val="28"/>
        </w:rPr>
        <w:fldChar w:fldCharType="end"/>
      </w:r>
      <w:bookmarkEnd w:id="37"/>
      <w:r w:rsidRPr="00C95F78">
        <w:rPr>
          <w:sz w:val="28"/>
          <w:szCs w:val="28"/>
        </w:rPr>
        <w:t xml:space="preserve">: </w:t>
      </w:r>
      <w:r w:rsidR="00056522" w:rsidRPr="00C95F78">
        <w:rPr>
          <w:sz w:val="28"/>
          <w:szCs w:val="28"/>
        </w:rPr>
        <w:t>Development Stages of Hybrid Vehicles</w:t>
      </w:r>
      <w:r w:rsidR="000D59E5" w:rsidRPr="00C95F78">
        <w:rPr>
          <w:sz w:val="20"/>
          <w:szCs w:val="28"/>
          <w:vertAlign w:val="superscript"/>
        </w:rPr>
        <w:footnoteReference w:id="2"/>
      </w:r>
      <w:bookmarkEnd w:id="38"/>
    </w:p>
    <w:p w:rsidR="005A48E2" w:rsidRPr="00C95F78" w:rsidRDefault="005A48E2" w:rsidP="00BB1A5E">
      <w:pPr>
        <w:pStyle w:val="ListParagraph"/>
        <w:autoSpaceDE w:val="0"/>
        <w:autoSpaceDN w:val="0"/>
        <w:adjustRightInd w:val="0"/>
        <w:spacing w:after="0" w:line="240" w:lineRule="auto"/>
        <w:jc w:val="both"/>
      </w:pPr>
    </w:p>
    <w:p w:rsidR="005A48E2" w:rsidRPr="00C95F78" w:rsidRDefault="00366AB8" w:rsidP="00BB1A5E">
      <w:pPr>
        <w:pStyle w:val="ListParagraph"/>
        <w:autoSpaceDE w:val="0"/>
        <w:autoSpaceDN w:val="0"/>
        <w:adjustRightInd w:val="0"/>
        <w:spacing w:after="0" w:line="240" w:lineRule="auto"/>
        <w:jc w:val="both"/>
      </w:pPr>
      <w:r w:rsidRPr="00C95F78">
        <w:rPr>
          <w:noProof/>
          <w:lang w:val="en-US"/>
        </w:rPr>
        <w:drawing>
          <wp:inline distT="0" distB="0" distL="0" distR="0">
            <wp:extent cx="5257800" cy="2266950"/>
            <wp:effectExtent l="19050" t="0" r="0" b="0"/>
            <wp:docPr id="36"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 cstate="print"/>
                    <a:srcRect/>
                    <a:stretch>
                      <a:fillRect/>
                    </a:stretch>
                  </pic:blipFill>
                  <pic:spPr bwMode="auto">
                    <a:xfrm>
                      <a:off x="0" y="0"/>
                      <a:ext cx="5257800" cy="2266950"/>
                    </a:xfrm>
                    <a:prstGeom prst="rect">
                      <a:avLst/>
                    </a:prstGeom>
                    <a:noFill/>
                    <a:ln w="9525">
                      <a:noFill/>
                      <a:miter lim="800000"/>
                      <a:headEnd/>
                      <a:tailEnd/>
                    </a:ln>
                  </pic:spPr>
                </pic:pic>
              </a:graphicData>
            </a:graphic>
          </wp:inline>
        </w:drawing>
      </w:r>
    </w:p>
    <w:p w:rsidR="005A48E2" w:rsidRPr="00C95F78" w:rsidRDefault="00BD6045" w:rsidP="00BB1A5E">
      <w:pPr>
        <w:autoSpaceDE w:val="0"/>
        <w:autoSpaceDN w:val="0"/>
        <w:adjustRightInd w:val="0"/>
        <w:spacing w:after="0" w:line="240" w:lineRule="auto"/>
        <w:contextualSpacing/>
        <w:jc w:val="both"/>
      </w:pPr>
      <w:r w:rsidRPr="00C95F78">
        <w:t xml:space="preserve">The hybrid vehicles, such as the Toyota Prius, that we know today are “fully </w:t>
      </w:r>
      <w:r w:rsidR="00366758" w:rsidRPr="00C95F78">
        <w:t xml:space="preserve">hybrids”. The next stage is the </w:t>
      </w:r>
      <w:r w:rsidR="00440A05" w:rsidRPr="00C95F78">
        <w:t>plug-</w:t>
      </w:r>
      <w:r w:rsidR="00366758" w:rsidRPr="00C95F78">
        <w:t xml:space="preserve">in hybrid electric vehicle (PHEV), capable of taking electricity directly from the grid. In 2010 Toyota is offering a </w:t>
      </w:r>
      <w:r w:rsidR="00440A05" w:rsidRPr="00C95F78">
        <w:t>plug-</w:t>
      </w:r>
      <w:r w:rsidR="00366758" w:rsidRPr="00C95F78">
        <w:t xml:space="preserve">in version of the Prius; in China BYD is also offering </w:t>
      </w:r>
      <w:r w:rsidR="00440A05" w:rsidRPr="00C95F78">
        <w:t>plug-</w:t>
      </w:r>
      <w:r w:rsidR="00366758" w:rsidRPr="00C95F78">
        <w:t>in hybrid vehicles.</w:t>
      </w:r>
      <w:r w:rsidR="009B6AD0" w:rsidRPr="00C95F78">
        <w:t xml:space="preserve"> These are scheduled to go into mass production in 2012.</w:t>
      </w:r>
    </w:p>
    <w:p w:rsidR="005A48E2" w:rsidRPr="00C95F78" w:rsidRDefault="005A48E2" w:rsidP="00BB1A5E">
      <w:pPr>
        <w:autoSpaceDE w:val="0"/>
        <w:autoSpaceDN w:val="0"/>
        <w:adjustRightInd w:val="0"/>
        <w:spacing w:after="0" w:line="240" w:lineRule="auto"/>
        <w:contextualSpacing/>
        <w:jc w:val="both"/>
      </w:pPr>
    </w:p>
    <w:p w:rsidR="005A48E2" w:rsidRPr="00C95F78" w:rsidRDefault="009B6AD0" w:rsidP="00BB1A5E">
      <w:pPr>
        <w:autoSpaceDE w:val="0"/>
        <w:autoSpaceDN w:val="0"/>
        <w:adjustRightInd w:val="0"/>
        <w:spacing w:after="0" w:line="240" w:lineRule="auto"/>
        <w:contextualSpacing/>
        <w:jc w:val="both"/>
      </w:pPr>
      <w:r w:rsidRPr="00C95F78">
        <w:t>The PHEV has a much larger battery and more powerful motor than an existing HEV, and will be capable of running for extended distances (20-30 km) in battery depletion mode without assistance from the internal combustion engine. As its name suggests, the plug-in hybrid will require some infrastructure to ensure that it is able to access electricity from the grid. As the vehicle can operate in non-electric mode, however, this may not initially be much more than a charging point in the home.</w:t>
      </w:r>
    </w:p>
    <w:p w:rsidR="005A48E2" w:rsidRPr="00C95F78" w:rsidRDefault="005A48E2" w:rsidP="00BB1A5E">
      <w:pPr>
        <w:autoSpaceDE w:val="0"/>
        <w:autoSpaceDN w:val="0"/>
        <w:adjustRightInd w:val="0"/>
        <w:spacing w:after="0" w:line="240" w:lineRule="auto"/>
        <w:contextualSpacing/>
        <w:jc w:val="both"/>
      </w:pPr>
    </w:p>
    <w:p w:rsidR="005A48E2" w:rsidRPr="00C95F78" w:rsidRDefault="005A48E2" w:rsidP="00BB1A5E">
      <w:pPr>
        <w:autoSpaceDE w:val="0"/>
        <w:autoSpaceDN w:val="0"/>
        <w:adjustRightInd w:val="0"/>
        <w:spacing w:after="0" w:line="240" w:lineRule="auto"/>
        <w:contextualSpacing/>
        <w:jc w:val="both"/>
      </w:pPr>
    </w:p>
    <w:p w:rsidR="005A48E2" w:rsidRPr="00C95F78" w:rsidRDefault="000C6A0D" w:rsidP="00BB1A5E">
      <w:pPr>
        <w:pStyle w:val="Caption"/>
        <w:contextualSpacing/>
        <w:jc w:val="center"/>
        <w:rPr>
          <w:sz w:val="28"/>
          <w:szCs w:val="28"/>
        </w:rPr>
      </w:pPr>
      <w:bookmarkStart w:id="39" w:name="_Toc26367166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13</w:t>
      </w:r>
      <w:r w:rsidR="00D50FDC" w:rsidRPr="00C95F78">
        <w:rPr>
          <w:sz w:val="28"/>
          <w:szCs w:val="28"/>
        </w:rPr>
        <w:fldChar w:fldCharType="end"/>
      </w:r>
      <w:r w:rsidRPr="00C95F78">
        <w:rPr>
          <w:sz w:val="28"/>
          <w:szCs w:val="28"/>
        </w:rPr>
        <w:t>: The Vehicle Electrification Path</w:t>
      </w:r>
      <w:r w:rsidR="00440A05" w:rsidRPr="00C95F78">
        <w:rPr>
          <w:rStyle w:val="FootnoteReference"/>
          <w:sz w:val="28"/>
          <w:szCs w:val="28"/>
        </w:rPr>
        <w:footnoteReference w:id="3"/>
      </w:r>
      <w:bookmarkEnd w:id="39"/>
    </w:p>
    <w:p w:rsidR="005A48E2" w:rsidRPr="00C95F78" w:rsidRDefault="00366AB8" w:rsidP="00BB1A5E">
      <w:pPr>
        <w:pStyle w:val="ListParagraph"/>
        <w:autoSpaceDE w:val="0"/>
        <w:autoSpaceDN w:val="0"/>
        <w:adjustRightInd w:val="0"/>
        <w:spacing w:after="0" w:line="240" w:lineRule="auto"/>
        <w:ind w:left="0"/>
        <w:jc w:val="both"/>
      </w:pPr>
      <w:r w:rsidRPr="00C95F78">
        <w:rPr>
          <w:noProof/>
          <w:lang w:val="en-US"/>
        </w:rPr>
        <w:drawing>
          <wp:inline distT="0" distB="0" distL="0" distR="0">
            <wp:extent cx="5934000" cy="343200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4000" cy="3432000"/>
                    </a:xfrm>
                    <a:prstGeom prst="rect">
                      <a:avLst/>
                    </a:prstGeom>
                    <a:noFill/>
                    <a:ln w="9525">
                      <a:noFill/>
                      <a:miter lim="800000"/>
                      <a:headEnd/>
                      <a:tailEnd/>
                    </a:ln>
                  </pic:spPr>
                </pic:pic>
              </a:graphicData>
            </a:graphic>
          </wp:inline>
        </w:drawing>
      </w:r>
    </w:p>
    <w:p w:rsidR="005A48E2" w:rsidRPr="00C95F78" w:rsidRDefault="005A48E2" w:rsidP="00BB1A5E">
      <w:pPr>
        <w:autoSpaceDE w:val="0"/>
        <w:autoSpaceDN w:val="0"/>
        <w:adjustRightInd w:val="0"/>
        <w:spacing w:after="0" w:line="240" w:lineRule="auto"/>
        <w:contextualSpacing/>
        <w:jc w:val="both"/>
      </w:pPr>
    </w:p>
    <w:p w:rsidR="00563FAC" w:rsidRDefault="00563FAC" w:rsidP="00BB1A5E">
      <w:pPr>
        <w:autoSpaceDE w:val="0"/>
        <w:autoSpaceDN w:val="0"/>
        <w:adjustRightInd w:val="0"/>
        <w:spacing w:after="0" w:line="240" w:lineRule="auto"/>
        <w:contextualSpacing/>
        <w:jc w:val="both"/>
      </w:pPr>
    </w:p>
    <w:p w:rsidR="00563FAC" w:rsidRDefault="00563FAC" w:rsidP="00BB1A5E">
      <w:pPr>
        <w:autoSpaceDE w:val="0"/>
        <w:autoSpaceDN w:val="0"/>
        <w:adjustRightInd w:val="0"/>
        <w:spacing w:after="0" w:line="240" w:lineRule="auto"/>
        <w:contextualSpacing/>
        <w:jc w:val="both"/>
      </w:pPr>
    </w:p>
    <w:p w:rsidR="005A48E2" w:rsidRPr="00C95F78" w:rsidRDefault="009B6AD0" w:rsidP="00BB1A5E">
      <w:pPr>
        <w:autoSpaceDE w:val="0"/>
        <w:autoSpaceDN w:val="0"/>
        <w:adjustRightInd w:val="0"/>
        <w:spacing w:after="0" w:line="240" w:lineRule="auto"/>
        <w:contextualSpacing/>
        <w:jc w:val="both"/>
      </w:pPr>
      <w:r w:rsidRPr="00C95F78">
        <w:t xml:space="preserve">From the PHEV to the full battery electric vehicle (BEV) there is one intermediate step, the “range extender”. </w:t>
      </w:r>
      <w:r w:rsidR="008A01B9" w:rsidRPr="00C95F78">
        <w:t>This is essentially a BEV with a backup ICE facility used to recharge the battery. This intermediate step may be required if battery technology has not yet reached the stage where it has sufficient range for reliable vehicle use, and while a full external charging infrastructure is being built up.</w:t>
      </w:r>
    </w:p>
    <w:p w:rsidR="005A48E2" w:rsidRPr="00C95F78" w:rsidRDefault="005A48E2" w:rsidP="00BB1A5E">
      <w:pPr>
        <w:autoSpaceDE w:val="0"/>
        <w:autoSpaceDN w:val="0"/>
        <w:adjustRightInd w:val="0"/>
        <w:spacing w:after="0" w:line="240" w:lineRule="auto"/>
        <w:contextualSpacing/>
        <w:jc w:val="both"/>
      </w:pPr>
    </w:p>
    <w:p w:rsidR="005A48E2" w:rsidRPr="00C95F78" w:rsidRDefault="008A01B9" w:rsidP="00BB1A5E">
      <w:pPr>
        <w:autoSpaceDE w:val="0"/>
        <w:autoSpaceDN w:val="0"/>
        <w:adjustRightInd w:val="0"/>
        <w:spacing w:after="0" w:line="240" w:lineRule="auto"/>
        <w:contextualSpacing/>
        <w:jc w:val="both"/>
      </w:pPr>
      <w:r w:rsidRPr="00C95F78">
        <w:t>Given sufficient battery technology and charging infrastructure development, the BEV is likely to become the logical vehicle choice for many car users, especially if given generous financial incentives. The full valorisation of the technology will become apparent if the charging infrastructure is developed to allow resale of electricity back into the grid at an attractive tariff. Thus, electric</w:t>
      </w:r>
      <w:r w:rsidR="00F86940" w:rsidRPr="00C95F78">
        <w:t>ity taken by the vehicle</w:t>
      </w:r>
      <w:r w:rsidR="00F9547D" w:rsidRPr="00C95F78">
        <w:t xml:space="preserve"> </w:t>
      </w:r>
      <w:r w:rsidRPr="00C95F78">
        <w:t>at a low cost at night could be resold at a higher rate during periods of peak loading during the day. As such, the BEV is seen as ultimately becoming an important integral part of the electricity grid.</w:t>
      </w:r>
    </w:p>
    <w:p w:rsidR="005A48E2" w:rsidRPr="00E3629A" w:rsidRDefault="005A48E2" w:rsidP="00BB1A5E">
      <w:pPr>
        <w:autoSpaceDE w:val="0"/>
        <w:autoSpaceDN w:val="0"/>
        <w:adjustRightInd w:val="0"/>
        <w:spacing w:after="0" w:line="240" w:lineRule="auto"/>
        <w:contextualSpacing/>
        <w:jc w:val="both"/>
      </w:pPr>
    </w:p>
    <w:p w:rsidR="005A48E2" w:rsidRPr="00C95F78" w:rsidRDefault="00DE7E66"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Fuel Cell Electric Vehicles (FCEVs)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9E5E14" w:rsidP="00BB1A5E">
      <w:pPr>
        <w:autoSpaceDE w:val="0"/>
        <w:autoSpaceDN w:val="0"/>
        <w:adjustRightInd w:val="0"/>
        <w:spacing w:after="0" w:line="240" w:lineRule="auto"/>
        <w:contextualSpacing/>
        <w:jc w:val="both"/>
        <w:rPr>
          <w:szCs w:val="20"/>
        </w:rPr>
      </w:pPr>
      <w:r w:rsidRPr="00C95F78">
        <w:rPr>
          <w:szCs w:val="20"/>
        </w:rPr>
        <w:t>While battery technology still has some way to go before the BEV becomes an economic proposition, FCEV technology is further from commercialisation. Long term, however, it is seen by many as the most efficient, clean and secure technology for the automotive market. Hydrogen can be produced in volume by running a relatively small amount of electricity though water</w:t>
      </w:r>
      <w:r w:rsidR="0060285D" w:rsidRPr="00C95F78">
        <w:rPr>
          <w:szCs w:val="20"/>
        </w:rPr>
        <w:t>. It can be stored at a</w:t>
      </w:r>
      <w:r w:rsidRPr="00C95F78">
        <w:rPr>
          <w:szCs w:val="20"/>
        </w:rPr>
        <w:t xml:space="preserve"> rate of between 1,000 and 3,000 watt hours per kilogram</w:t>
      </w:r>
      <w:r w:rsidR="0060285D" w:rsidRPr="00C95F78">
        <w:rPr>
          <w:szCs w:val="20"/>
        </w:rPr>
        <w:t>; this</w:t>
      </w:r>
      <w:r w:rsidRPr="00C95F78">
        <w:rPr>
          <w:szCs w:val="20"/>
        </w:rPr>
        <w:t xml:space="preserve"> compares well to batteries.</w:t>
      </w:r>
      <w:r w:rsidR="0060285D" w:rsidRPr="00C95F78">
        <w:rPr>
          <w:szCs w:val="20"/>
        </w:rPr>
        <w:t xml:space="preserve"> The electrons in hydrogen can be extracted whenever needed by using fuel cells which convert the chemical energy into DC electricity. The electricity can be used either directly, or stored in batteries. The by-products of the fuel cell process are simply heat and water. From the fuel cell on, the drive train of a FCEV is similar to a BEV, although there is likely to be a need for more robust and perhaps as many as three heat exchangers to dissipate the heat generated in the fuel cell process.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60285D" w:rsidP="00BB1A5E">
      <w:pPr>
        <w:autoSpaceDE w:val="0"/>
        <w:autoSpaceDN w:val="0"/>
        <w:adjustRightInd w:val="0"/>
        <w:spacing w:after="0" w:line="240" w:lineRule="auto"/>
        <w:contextualSpacing/>
        <w:jc w:val="both"/>
        <w:rPr>
          <w:szCs w:val="20"/>
        </w:rPr>
      </w:pPr>
      <w:r w:rsidRPr="00C95F78">
        <w:rPr>
          <w:szCs w:val="20"/>
        </w:rPr>
        <w:t>It is thought that an FCEV will be 40-60% efficient in its use of energy. An ICE vehicle is 20% efficient, and current HEVs not much more than this. Moreover, FCEVs promise to have a range that greatly exceeds that of the BEV.</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60285D" w:rsidP="00BB1A5E">
      <w:pPr>
        <w:autoSpaceDE w:val="0"/>
        <w:autoSpaceDN w:val="0"/>
        <w:adjustRightInd w:val="0"/>
        <w:spacing w:after="0" w:line="240" w:lineRule="auto"/>
        <w:contextualSpacing/>
        <w:jc w:val="both"/>
        <w:rPr>
          <w:szCs w:val="20"/>
        </w:rPr>
      </w:pPr>
      <w:r w:rsidRPr="00C95F78">
        <w:rPr>
          <w:szCs w:val="20"/>
        </w:rPr>
        <w:t xml:space="preserve">While the advantages of fuel cell technology are enormous, so are the obstacles. One is the early stage of fuel cell technology. This is at present a highly expensive, and energy intensive, technology. </w:t>
      </w:r>
      <w:r w:rsidR="00685AFC" w:rsidRPr="00C95F78">
        <w:rPr>
          <w:szCs w:val="20"/>
        </w:rPr>
        <w:t>Even</w:t>
      </w:r>
      <w:r w:rsidRPr="00C95F78">
        <w:rPr>
          <w:szCs w:val="20"/>
        </w:rPr>
        <w:t xml:space="preserve"> more of a difficulty is the </w:t>
      </w:r>
      <w:r w:rsidR="000A4F13" w:rsidRPr="00C95F78">
        <w:rPr>
          <w:szCs w:val="20"/>
        </w:rPr>
        <w:t>need for a hydrogen storage infrastructure, on a totally different scale to that required for BEVs.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A976DB"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 xml:space="preserve">Application Range of the Alternative </w:t>
      </w:r>
      <w:r w:rsidR="009E0F2F" w:rsidRPr="00C95F78">
        <w:rPr>
          <w:b/>
          <w:color w:val="365F91" w:themeColor="accent1" w:themeShade="BF"/>
          <w:sz w:val="24"/>
          <w:szCs w:val="24"/>
        </w:rPr>
        <w:t>Technical and Market Solutions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A976DB" w:rsidP="00BB1A5E">
      <w:pPr>
        <w:autoSpaceDE w:val="0"/>
        <w:autoSpaceDN w:val="0"/>
        <w:adjustRightInd w:val="0"/>
        <w:spacing w:after="0" w:line="240" w:lineRule="auto"/>
        <w:contextualSpacing/>
        <w:jc w:val="both"/>
        <w:rPr>
          <w:szCs w:val="20"/>
        </w:rPr>
      </w:pPr>
      <w:r w:rsidRPr="00C95F78">
        <w:rPr>
          <w:szCs w:val="20"/>
        </w:rPr>
        <w:t>To some degree, the development of the vehicle fleet will reflect the state of technology rather than the intrinsic merits of the alternatives. HEVs, PHEVs, EVs and FCEVs are each seen as direct competitors to the traditional ICE vehicle</w:t>
      </w:r>
      <w:r w:rsidR="00257B43" w:rsidRPr="00C95F78">
        <w:rPr>
          <w:szCs w:val="20"/>
        </w:rPr>
        <w:t>, although it could turn out that each comes to have its own niche in the vehicle market.</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257B43" w:rsidP="00BB1A5E">
      <w:pPr>
        <w:autoSpaceDE w:val="0"/>
        <w:autoSpaceDN w:val="0"/>
        <w:adjustRightInd w:val="0"/>
        <w:spacing w:after="0" w:line="240" w:lineRule="auto"/>
        <w:contextualSpacing/>
        <w:jc w:val="both"/>
        <w:rPr>
          <w:szCs w:val="20"/>
        </w:rPr>
      </w:pPr>
      <w:r w:rsidRPr="00C95F78">
        <w:rPr>
          <w:szCs w:val="20"/>
        </w:rPr>
        <w:t>The ICE is probably best placed to serve the long distance inter-urban transport market. Diesel or petrol engines work most efficiently at a relatively high and constant speed. Overall fuel use is relatively modest and emissions quite low. Emissions, in any case, are relatively benign outside the urban environment.</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257B43" w:rsidP="00BB1A5E">
      <w:pPr>
        <w:autoSpaceDE w:val="0"/>
        <w:autoSpaceDN w:val="0"/>
        <w:adjustRightInd w:val="0"/>
        <w:spacing w:after="0" w:line="240" w:lineRule="auto"/>
        <w:contextualSpacing/>
        <w:jc w:val="both"/>
        <w:rPr>
          <w:szCs w:val="20"/>
        </w:rPr>
      </w:pPr>
      <w:r w:rsidRPr="00C95F78">
        <w:rPr>
          <w:szCs w:val="20"/>
        </w:rPr>
        <w:t xml:space="preserve">In contrast, the greater efficiency at low and variable speeds of electric drive trains, coupled with the low range of batteries, puts them in the best </w:t>
      </w:r>
      <w:r w:rsidR="00E904D2" w:rsidRPr="00C95F78">
        <w:rPr>
          <w:szCs w:val="20"/>
        </w:rPr>
        <w:t xml:space="preserve">position </w:t>
      </w:r>
      <w:r w:rsidRPr="00C95F78">
        <w:rPr>
          <w:szCs w:val="20"/>
        </w:rPr>
        <w:t>to serve the short distanced urban market. Also, low (or zero) emissions are at a premium in the urban context, while it is likely to be most economic to secure a full charging infrastructure in towns and cities than across nations. It is possible, therefore, to see a much greater penetration of BEVs for city use than generally.</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257B43" w:rsidP="00BB1A5E">
      <w:pPr>
        <w:autoSpaceDE w:val="0"/>
        <w:autoSpaceDN w:val="0"/>
        <w:adjustRightInd w:val="0"/>
        <w:spacing w:after="0" w:line="240" w:lineRule="auto"/>
        <w:contextualSpacing/>
        <w:jc w:val="both"/>
        <w:rPr>
          <w:szCs w:val="20"/>
        </w:rPr>
      </w:pPr>
      <w:r w:rsidRPr="00C95F78">
        <w:rPr>
          <w:szCs w:val="20"/>
        </w:rPr>
        <w:t xml:space="preserve">Falling between the ICE and BEV are the HEVs and PHEVs, with HEVs probably being </w:t>
      </w:r>
      <w:r w:rsidR="00685AFC" w:rsidRPr="00C95F78">
        <w:rPr>
          <w:szCs w:val="20"/>
        </w:rPr>
        <w:t xml:space="preserve">the </w:t>
      </w:r>
      <w:r w:rsidRPr="00C95F78">
        <w:rPr>
          <w:szCs w:val="20"/>
        </w:rPr>
        <w:t>most competitive with ICE vehicles. Where FCEVs fit within the spectrum is not clear. While they should ideally be a strong contender in both intra-urban and inter-urban markets, their widespread use will require a fully developed hydrogen infrastructure.</w:t>
      </w:r>
    </w:p>
    <w:p w:rsidR="005A48E2" w:rsidRPr="00C95F78" w:rsidRDefault="005A48E2" w:rsidP="00BB1A5E">
      <w:pPr>
        <w:autoSpaceDE w:val="0"/>
        <w:autoSpaceDN w:val="0"/>
        <w:adjustRightInd w:val="0"/>
        <w:spacing w:after="0" w:line="240" w:lineRule="auto"/>
        <w:contextualSpacing/>
        <w:jc w:val="both"/>
        <w:rPr>
          <w:szCs w:val="20"/>
        </w:rPr>
      </w:pPr>
    </w:p>
    <w:p w:rsidR="00E3629A" w:rsidRPr="00E3629A" w:rsidRDefault="00E3629A" w:rsidP="00E3629A">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40" w:name="_Toc263688576"/>
      <w:r>
        <w:rPr>
          <w:rFonts w:asciiTheme="minorHAnsi" w:hAnsiTheme="minorHAnsi"/>
          <w:color w:val="365F91" w:themeColor="accent1" w:themeShade="BF"/>
          <w:sz w:val="26"/>
          <w:szCs w:val="26"/>
        </w:rPr>
        <w:t>Market Forecasts by Sector</w:t>
      </w:r>
      <w:bookmarkEnd w:id="40"/>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257B43"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Competitive Environment for the Alternative Technologies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84859" w:rsidP="00BB1A5E">
      <w:pPr>
        <w:autoSpaceDE w:val="0"/>
        <w:autoSpaceDN w:val="0"/>
        <w:adjustRightInd w:val="0"/>
        <w:spacing w:after="0" w:line="240" w:lineRule="auto"/>
        <w:contextualSpacing/>
        <w:jc w:val="both"/>
        <w:rPr>
          <w:szCs w:val="20"/>
        </w:rPr>
      </w:pPr>
      <w:r w:rsidRPr="00C95F78">
        <w:rPr>
          <w:szCs w:val="20"/>
        </w:rPr>
        <w:t xml:space="preserve">The relative performance of the competing technologies is a matter of cost as well as the range of technology. As it stands, any form of alternative vehicle is considerably more expensive than an ICE alternative (by around </w:t>
      </w:r>
      <w:r w:rsidR="00F9547D" w:rsidRPr="00C95F78">
        <w:rPr>
          <w:szCs w:val="20"/>
        </w:rPr>
        <w:t>€</w:t>
      </w:r>
      <w:r w:rsidRPr="00C95F78">
        <w:rPr>
          <w:szCs w:val="20"/>
        </w:rPr>
        <w:t xml:space="preserve"> 4,000 for a current breed of hybrid). </w:t>
      </w:r>
    </w:p>
    <w:p w:rsidR="005A48E2" w:rsidRPr="00C95F78" w:rsidRDefault="00584859" w:rsidP="00BB1A5E">
      <w:pPr>
        <w:autoSpaceDE w:val="0"/>
        <w:autoSpaceDN w:val="0"/>
        <w:adjustRightInd w:val="0"/>
        <w:spacing w:after="0" w:line="240" w:lineRule="auto"/>
        <w:contextualSpacing/>
        <w:jc w:val="both"/>
        <w:rPr>
          <w:szCs w:val="20"/>
        </w:rPr>
      </w:pPr>
      <w:r w:rsidRPr="00C95F78">
        <w:rPr>
          <w:szCs w:val="20"/>
        </w:rPr>
        <w:t>With greater competition in the production of alternative vehicles, developments in battery technology reducing cost and increasing vehicle efficiency, coupled with increasing fuel costs and incentives to use cleaner vehicles, the balance will change. It is generally thought that various types of hybrid and perhaps also BEVs will become a fully economic proposition to the car user around 2015. The exact winners in this battle will depend on the relative technical and economic merits of the alternative technologies over time.</w:t>
      </w:r>
      <w:r w:rsidR="00DE2CF5" w:rsidRPr="00C95F78">
        <w:rPr>
          <w:szCs w:val="20"/>
        </w:rPr>
        <w:t xml:space="preserve"> </w:t>
      </w:r>
      <w:r w:rsidRPr="00C95F78">
        <w:rPr>
          <w:szCs w:val="20"/>
        </w:rPr>
        <w:t>The forecasts that follow represent our best estimate of how the competitive process will pan out over time.</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84859"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Forecast Alternative Vehicle Market</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EF420D" w:rsidP="00BB1A5E">
      <w:pPr>
        <w:autoSpaceDE w:val="0"/>
        <w:autoSpaceDN w:val="0"/>
        <w:adjustRightInd w:val="0"/>
        <w:spacing w:after="0" w:line="240" w:lineRule="auto"/>
        <w:contextualSpacing/>
        <w:jc w:val="both"/>
        <w:rPr>
          <w:szCs w:val="20"/>
        </w:rPr>
      </w:pPr>
      <w:r w:rsidRPr="00C95F78">
        <w:rPr>
          <w:szCs w:val="20"/>
        </w:rPr>
        <w:t>The alternative vehicle market at present is dominated by HEVs, with the Toyota Prius in turn dominating to HEV market. Virtually all of 751,000 alternative vehicles produced in 2009 were HEVs, and of these over 400,000 were Toyota Prius. Other significant contenders include</w:t>
      </w:r>
      <w:r w:rsidR="00065C69" w:rsidRPr="00C95F78">
        <w:rPr>
          <w:szCs w:val="20"/>
        </w:rPr>
        <w:t xml:space="preserve"> HEVs by Lexus and Honda in Japan and Ford and Camry in the United States.</w:t>
      </w:r>
      <w:r w:rsidRPr="00C95F78">
        <w:rPr>
          <w:szCs w:val="20"/>
        </w:rPr>
        <w:t xml:space="preserve"> </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366AB8" w:rsidP="00BB1A5E">
      <w:pPr>
        <w:pStyle w:val="Caption"/>
        <w:spacing w:after="120"/>
        <w:contextualSpacing/>
        <w:jc w:val="center"/>
        <w:rPr>
          <w:sz w:val="28"/>
          <w:szCs w:val="28"/>
        </w:rPr>
      </w:pPr>
      <w:bookmarkStart w:id="41" w:name="_Ref263148250"/>
      <w:bookmarkStart w:id="42" w:name="_Toc248129397"/>
      <w:bookmarkStart w:id="43" w:name="_Toc26367166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14</w:t>
      </w:r>
      <w:r w:rsidR="00D50FDC" w:rsidRPr="00C95F78">
        <w:rPr>
          <w:sz w:val="28"/>
          <w:szCs w:val="28"/>
        </w:rPr>
        <w:fldChar w:fldCharType="end"/>
      </w:r>
      <w:bookmarkEnd w:id="41"/>
      <w:r w:rsidRPr="00C95F78">
        <w:rPr>
          <w:sz w:val="28"/>
          <w:szCs w:val="28"/>
        </w:rPr>
        <w:t xml:space="preserve">: </w:t>
      </w:r>
      <w:bookmarkEnd w:id="42"/>
      <w:r w:rsidR="00EF420D" w:rsidRPr="00C95F78">
        <w:rPr>
          <w:sz w:val="28"/>
          <w:szCs w:val="28"/>
        </w:rPr>
        <w:t>Some Alternative Vehicle Models Planned</w:t>
      </w:r>
      <w:bookmarkEnd w:id="43"/>
    </w:p>
    <w:p w:rsidR="005A48E2" w:rsidRPr="00C95F78" w:rsidRDefault="00366AB8" w:rsidP="00E3629A">
      <w:pPr>
        <w:spacing w:line="240" w:lineRule="auto"/>
        <w:contextualSpacing/>
        <w:jc w:val="center"/>
        <w:rPr>
          <w:b/>
          <w:bCs/>
          <w:color w:val="4F81BD" w:themeColor="accent1"/>
          <w:sz w:val="28"/>
          <w:szCs w:val="28"/>
        </w:rPr>
      </w:pPr>
      <w:r w:rsidRPr="00C95F78">
        <w:rPr>
          <w:noProof/>
          <w:lang w:val="en-US"/>
        </w:rPr>
        <w:drawing>
          <wp:inline distT="0" distB="0" distL="0" distR="0">
            <wp:extent cx="5911313" cy="5559617"/>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t="1158" b="2702"/>
                    <a:stretch>
                      <a:fillRect/>
                    </a:stretch>
                  </pic:blipFill>
                  <pic:spPr bwMode="auto">
                    <a:xfrm>
                      <a:off x="0" y="0"/>
                      <a:ext cx="5911313" cy="5559617"/>
                    </a:xfrm>
                    <a:prstGeom prst="rect">
                      <a:avLst/>
                    </a:prstGeom>
                    <a:noFill/>
                    <a:ln w="9525">
                      <a:noFill/>
                      <a:miter lim="800000"/>
                      <a:headEnd/>
                      <a:tailEnd/>
                    </a:ln>
                  </pic:spPr>
                </pic:pic>
              </a:graphicData>
            </a:graphic>
          </wp:inline>
        </w:drawing>
      </w:r>
      <w:r w:rsidR="00B6394A" w:rsidRPr="00C95F78">
        <w:br w:type="page"/>
      </w:r>
      <w:bookmarkStart w:id="44" w:name="_Toc263671669"/>
      <w:r w:rsidR="009B5D0C" w:rsidRPr="00C95F78">
        <w:rPr>
          <w:b/>
          <w:bCs/>
          <w:color w:val="4F81BD" w:themeColor="accent1"/>
          <w:sz w:val="28"/>
          <w:szCs w:val="28"/>
        </w:rPr>
        <w:t xml:space="preserve">Figure </w:t>
      </w:r>
      <w:r w:rsidR="00D50FDC" w:rsidRPr="00C95F78">
        <w:rPr>
          <w:b/>
          <w:bCs/>
          <w:color w:val="4F81BD" w:themeColor="accent1"/>
          <w:sz w:val="28"/>
          <w:szCs w:val="28"/>
        </w:rPr>
        <w:fldChar w:fldCharType="begin"/>
      </w:r>
      <w:r w:rsidR="009B5D0C" w:rsidRPr="00C95F78">
        <w:rPr>
          <w:b/>
          <w:bCs/>
          <w:color w:val="4F81BD" w:themeColor="accent1"/>
          <w:sz w:val="28"/>
          <w:szCs w:val="28"/>
        </w:rPr>
        <w:instrText xml:space="preserve"> SEQ Figure \* ARABIC </w:instrText>
      </w:r>
      <w:r w:rsidR="00D50FDC" w:rsidRPr="00C95F78">
        <w:rPr>
          <w:b/>
          <w:bCs/>
          <w:color w:val="4F81BD" w:themeColor="accent1"/>
          <w:sz w:val="28"/>
          <w:szCs w:val="28"/>
        </w:rPr>
        <w:fldChar w:fldCharType="separate"/>
      </w:r>
      <w:r w:rsidR="0005759A">
        <w:rPr>
          <w:b/>
          <w:bCs/>
          <w:noProof/>
          <w:color w:val="4F81BD" w:themeColor="accent1"/>
          <w:sz w:val="28"/>
          <w:szCs w:val="28"/>
        </w:rPr>
        <w:t>15</w:t>
      </w:r>
      <w:r w:rsidR="00D50FDC" w:rsidRPr="00C95F78">
        <w:rPr>
          <w:b/>
          <w:bCs/>
          <w:color w:val="4F81BD" w:themeColor="accent1"/>
          <w:sz w:val="28"/>
          <w:szCs w:val="28"/>
        </w:rPr>
        <w:fldChar w:fldCharType="end"/>
      </w:r>
      <w:r w:rsidR="009B5D0C" w:rsidRPr="00C95F78">
        <w:rPr>
          <w:b/>
          <w:bCs/>
          <w:color w:val="4F81BD" w:themeColor="accent1"/>
          <w:sz w:val="28"/>
          <w:szCs w:val="28"/>
        </w:rPr>
        <w:t>: New Road Vehicle Output Forecast (‘000)</w:t>
      </w:r>
      <w:bookmarkEnd w:id="44"/>
    </w:p>
    <w:p w:rsidR="005A48E2" w:rsidRPr="00C95F78" w:rsidRDefault="005A48E2" w:rsidP="00BB1A5E">
      <w:pPr>
        <w:spacing w:line="240" w:lineRule="auto"/>
        <w:contextualSpacing/>
        <w:jc w:val="both"/>
        <w:rPr>
          <w:b/>
          <w:bCs/>
          <w:color w:val="4F81BD" w:themeColor="accent1"/>
          <w:sz w:val="12"/>
          <w:szCs w:val="12"/>
        </w:rPr>
      </w:pPr>
    </w:p>
    <w:p w:rsidR="005A48E2" w:rsidRPr="00C95F78" w:rsidRDefault="009B5D0C" w:rsidP="00E3629A">
      <w:pPr>
        <w:spacing w:after="0" w:line="240" w:lineRule="auto"/>
        <w:contextualSpacing/>
        <w:jc w:val="center"/>
      </w:pPr>
      <w:r w:rsidRPr="00C95F78">
        <w:rPr>
          <w:noProof/>
          <w:lang w:val="en-US"/>
        </w:rPr>
        <w:drawing>
          <wp:inline distT="0" distB="0" distL="0" distR="0">
            <wp:extent cx="5880295" cy="2202106"/>
            <wp:effectExtent l="19050" t="0" r="6155"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9B5D0C" w:rsidP="00BB1A5E">
      <w:pPr>
        <w:pStyle w:val="Caption"/>
        <w:contextualSpacing/>
        <w:jc w:val="center"/>
        <w:rPr>
          <w:sz w:val="28"/>
          <w:szCs w:val="28"/>
        </w:rPr>
      </w:pPr>
      <w:bookmarkStart w:id="45" w:name="_Toc26367167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16</w:t>
      </w:r>
      <w:r w:rsidR="00D50FDC" w:rsidRPr="00C95F78">
        <w:rPr>
          <w:sz w:val="28"/>
          <w:szCs w:val="28"/>
        </w:rPr>
        <w:fldChar w:fldCharType="end"/>
      </w:r>
      <w:r w:rsidRPr="00C95F78">
        <w:rPr>
          <w:sz w:val="28"/>
          <w:szCs w:val="28"/>
        </w:rPr>
        <w:t>: Alternative Road Vehicle Output Forecast (‘000 vehicles)</w:t>
      </w:r>
      <w:bookmarkEnd w:id="45"/>
    </w:p>
    <w:p w:rsidR="005A48E2" w:rsidRPr="00C95F78" w:rsidRDefault="009B5D0C" w:rsidP="00BB1A5E">
      <w:pPr>
        <w:spacing w:after="0" w:line="240" w:lineRule="auto"/>
        <w:contextualSpacing/>
        <w:jc w:val="both"/>
      </w:pPr>
      <w:r w:rsidRPr="00C95F78">
        <w:rPr>
          <w:noProof/>
          <w:lang w:val="en-US"/>
        </w:rPr>
        <w:drawing>
          <wp:inline distT="0" distB="0" distL="0" distR="0">
            <wp:extent cx="5880295" cy="2202106"/>
            <wp:effectExtent l="19050" t="0" r="6155" b="0"/>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sz w:val="12"/>
          <w:szCs w:val="12"/>
        </w:rPr>
      </w:pPr>
    </w:p>
    <w:p w:rsidR="005A48E2" w:rsidRPr="00C95F78" w:rsidRDefault="009B5D0C" w:rsidP="00BB1A5E">
      <w:pPr>
        <w:spacing w:after="0" w:line="240" w:lineRule="auto"/>
        <w:contextualSpacing/>
        <w:jc w:val="both"/>
        <w:rPr>
          <w:sz w:val="16"/>
          <w:szCs w:val="16"/>
        </w:rPr>
      </w:pPr>
      <w:r w:rsidRPr="00C95F78">
        <w:rPr>
          <w:sz w:val="16"/>
          <w:szCs w:val="16"/>
        </w:rPr>
        <w:t>Note: Includes HEVs, PHEVs, EVs and FCEVs</w:t>
      </w:r>
    </w:p>
    <w:p w:rsidR="005A48E2" w:rsidRPr="00C95F78" w:rsidRDefault="005A48E2" w:rsidP="00BB1A5E">
      <w:pPr>
        <w:spacing w:after="0" w:line="240" w:lineRule="auto"/>
        <w:contextualSpacing/>
        <w:jc w:val="both"/>
      </w:pPr>
    </w:p>
    <w:p w:rsidR="005A48E2" w:rsidRPr="00C95F78" w:rsidRDefault="009B5D0C" w:rsidP="00BB1A5E">
      <w:pPr>
        <w:pStyle w:val="Caption"/>
        <w:contextualSpacing/>
        <w:jc w:val="center"/>
        <w:rPr>
          <w:sz w:val="28"/>
          <w:szCs w:val="28"/>
        </w:rPr>
      </w:pPr>
      <w:bookmarkStart w:id="46" w:name="_Toc26367167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17</w:t>
      </w:r>
      <w:r w:rsidR="00D50FDC" w:rsidRPr="00C95F78">
        <w:rPr>
          <w:sz w:val="28"/>
          <w:szCs w:val="28"/>
        </w:rPr>
        <w:fldChar w:fldCharType="end"/>
      </w:r>
      <w:r w:rsidRPr="00C95F78">
        <w:rPr>
          <w:sz w:val="28"/>
          <w:szCs w:val="28"/>
        </w:rPr>
        <w:t>: Forecast Share of Output of Alternative Road Vehicles</w:t>
      </w:r>
      <w:bookmarkEnd w:id="46"/>
    </w:p>
    <w:p w:rsidR="005A48E2" w:rsidRPr="00C95F78" w:rsidRDefault="009B5D0C" w:rsidP="00BB1A5E">
      <w:pPr>
        <w:spacing w:after="0" w:line="240" w:lineRule="auto"/>
        <w:contextualSpacing/>
        <w:jc w:val="both"/>
      </w:pPr>
      <w:r w:rsidRPr="00C95F78">
        <w:rPr>
          <w:noProof/>
          <w:lang w:val="en-US"/>
        </w:rPr>
        <w:drawing>
          <wp:inline distT="0" distB="0" distL="0" distR="0">
            <wp:extent cx="5880295" cy="2202106"/>
            <wp:effectExtent l="19050" t="0" r="6155"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sz w:val="12"/>
          <w:szCs w:val="12"/>
        </w:rPr>
      </w:pPr>
    </w:p>
    <w:p w:rsidR="005A48E2" w:rsidRPr="00C95F78" w:rsidRDefault="009B5D0C" w:rsidP="00BB1A5E">
      <w:pPr>
        <w:spacing w:after="0" w:line="240" w:lineRule="auto"/>
        <w:contextualSpacing/>
        <w:jc w:val="both"/>
        <w:rPr>
          <w:sz w:val="16"/>
          <w:szCs w:val="16"/>
        </w:rPr>
      </w:pPr>
      <w:r w:rsidRPr="00C95F78">
        <w:rPr>
          <w:sz w:val="16"/>
          <w:szCs w:val="16"/>
        </w:rPr>
        <w:t>Note: Includes HEVs, PHEVs, EVs and FCEVs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4D6789" w:rsidRPr="00C95F78" w:rsidRDefault="00C857C8" w:rsidP="00BB1A5E">
      <w:pPr>
        <w:spacing w:line="240" w:lineRule="auto"/>
        <w:jc w:val="both"/>
        <w:rPr>
          <w:b/>
          <w:bCs/>
          <w:color w:val="4F81BD" w:themeColor="accent1"/>
          <w:sz w:val="28"/>
          <w:szCs w:val="28"/>
        </w:rPr>
      </w:pPr>
      <w:r w:rsidRPr="00C95F78">
        <w:rPr>
          <w:sz w:val="28"/>
          <w:szCs w:val="28"/>
        </w:rPr>
        <w:br w:type="page"/>
      </w:r>
    </w:p>
    <w:p w:rsidR="00B67726" w:rsidRPr="00C95F78" w:rsidRDefault="00B67726" w:rsidP="00BB1A5E">
      <w:pPr>
        <w:pStyle w:val="Caption"/>
        <w:contextualSpacing/>
        <w:jc w:val="center"/>
        <w:rPr>
          <w:sz w:val="28"/>
          <w:szCs w:val="28"/>
        </w:rPr>
      </w:pPr>
      <w:bookmarkStart w:id="47" w:name="_Toc26367167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18</w:t>
      </w:r>
      <w:r w:rsidR="00D50FDC" w:rsidRPr="00C95F78">
        <w:rPr>
          <w:sz w:val="28"/>
          <w:szCs w:val="28"/>
        </w:rPr>
        <w:fldChar w:fldCharType="end"/>
      </w:r>
      <w:r w:rsidRPr="00C95F78">
        <w:rPr>
          <w:sz w:val="28"/>
          <w:szCs w:val="28"/>
        </w:rPr>
        <w:t xml:space="preserve">: </w:t>
      </w:r>
      <w:r w:rsidR="00A87884" w:rsidRPr="00C95F78">
        <w:rPr>
          <w:sz w:val="28"/>
          <w:szCs w:val="28"/>
        </w:rPr>
        <w:t>Hybrid Electric Vehicle Output Forecast</w:t>
      </w:r>
      <w:r w:rsidRPr="00C95F78">
        <w:rPr>
          <w:sz w:val="28"/>
          <w:szCs w:val="28"/>
        </w:rPr>
        <w:t xml:space="preserve"> (‘000</w:t>
      </w:r>
      <w:r w:rsidR="00FF468C" w:rsidRPr="00C95F78">
        <w:rPr>
          <w:sz w:val="28"/>
          <w:szCs w:val="28"/>
        </w:rPr>
        <w:t xml:space="preserve"> vehicles</w:t>
      </w:r>
      <w:r w:rsidRPr="00C95F78">
        <w:rPr>
          <w:sz w:val="28"/>
          <w:szCs w:val="28"/>
        </w:rPr>
        <w:t>)</w:t>
      </w:r>
      <w:bookmarkEnd w:id="47"/>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174837"/>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31840" cy="217483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611A5" w:rsidP="00BB1A5E">
      <w:pPr>
        <w:pStyle w:val="Caption"/>
        <w:contextualSpacing/>
        <w:jc w:val="center"/>
        <w:rPr>
          <w:sz w:val="28"/>
          <w:szCs w:val="28"/>
        </w:rPr>
      </w:pPr>
      <w:bookmarkStart w:id="48" w:name="_Toc26367167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19</w:t>
      </w:r>
      <w:r w:rsidR="00D50FDC" w:rsidRPr="00C95F78">
        <w:rPr>
          <w:sz w:val="28"/>
          <w:szCs w:val="28"/>
        </w:rPr>
        <w:fldChar w:fldCharType="end"/>
      </w:r>
      <w:r w:rsidRPr="00C95F78">
        <w:rPr>
          <w:sz w:val="28"/>
          <w:szCs w:val="28"/>
        </w:rPr>
        <w:t xml:space="preserve">: </w:t>
      </w:r>
      <w:r w:rsidR="00A87884" w:rsidRPr="00C95F78">
        <w:rPr>
          <w:sz w:val="28"/>
          <w:szCs w:val="28"/>
        </w:rPr>
        <w:t>Forecast Share of HEVs of All Alternative Vehicle Output</w:t>
      </w:r>
      <w:bookmarkEnd w:id="48"/>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174837"/>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831840" cy="217483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6400E4" w:rsidP="00BB1A5E">
      <w:pPr>
        <w:autoSpaceDE w:val="0"/>
        <w:autoSpaceDN w:val="0"/>
        <w:adjustRightInd w:val="0"/>
        <w:spacing w:after="0" w:line="240" w:lineRule="auto"/>
        <w:contextualSpacing/>
        <w:jc w:val="both"/>
        <w:rPr>
          <w:szCs w:val="20"/>
        </w:rPr>
      </w:pPr>
      <w:r w:rsidRPr="00C95F78">
        <w:rPr>
          <w:szCs w:val="20"/>
        </w:rPr>
        <w:t xml:space="preserve">This brief analysis indicates a highly concentrated market with a limited technology spread. </w:t>
      </w:r>
      <w:r w:rsidR="003C7AEB">
        <w:fldChar w:fldCharType="begin"/>
      </w:r>
      <w:r w:rsidR="003C7AEB">
        <w:instrText xml:space="preserve"> REF _Ref263148250 \h  \* MERGEFORMAT </w:instrText>
      </w:r>
      <w:r w:rsidR="003C7AEB">
        <w:fldChar w:fldCharType="separate"/>
      </w:r>
      <w:r w:rsidR="0005759A" w:rsidRPr="0005759A">
        <w:t xml:space="preserve">Figure </w:t>
      </w:r>
      <w:r w:rsidR="0005759A" w:rsidRPr="0005759A">
        <w:rPr>
          <w:noProof/>
        </w:rPr>
        <w:t>14</w:t>
      </w:r>
      <w:r w:rsidR="003C7AEB">
        <w:fldChar w:fldCharType="end"/>
      </w:r>
      <w:r w:rsidRPr="00C95F78">
        <w:rPr>
          <w:szCs w:val="20"/>
        </w:rPr>
        <w:t xml:space="preserve"> showing a partial list of the vehicles due for launch indicates that this picture is about to change, with major contenders about to enter within the HEV sector, and also the introduction of PHEVs and BEVs intended for mass production.</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Recent trends in the alternative vehicle market indicate that it is at a take off stage. During the latter half of 2009, monthly sales more than doubled compared to the first half and the previous year, despite the depressed state of the automotive industry overall. With this in mind we forecast a rapid expansion in alternative vehicle output of around 50% p.a. over the next four years, creating a market of over 4 million vehicles by 2013.</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While Europe’s purchase of HEVs is quite substantial, especially in the UK and the Netherlands, output to date has been modest. Focus by the big German car manufacturers in particular has been on the enhancement of ICE vehicles through the development of diesel technology and the ability to use alternative fuels (bio-fuels).</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rPr>
          <w:b/>
          <w:bCs/>
          <w:color w:val="4F81BD" w:themeColor="accent1"/>
          <w:sz w:val="28"/>
          <w:szCs w:val="28"/>
        </w:rPr>
      </w:pPr>
      <w:r w:rsidRPr="00C95F78">
        <w:t>While Europe is late on the scene, however, the trend towards alternative vehicles is now well recognised and active model development is underway. The same is true in China, where the battery manufacturer BYD in particular is proving to be a very active proponent of the electric vehicle.</w:t>
      </w:r>
      <w:r w:rsidR="00C857C8" w:rsidRPr="00C95F78">
        <w:rPr>
          <w:sz w:val="28"/>
          <w:szCs w:val="28"/>
        </w:rPr>
        <w:br w:type="page"/>
      </w:r>
    </w:p>
    <w:p w:rsidR="005A48E2" w:rsidRPr="00C95F78" w:rsidRDefault="00C857C8" w:rsidP="00BB1A5E">
      <w:pPr>
        <w:pStyle w:val="Caption"/>
        <w:contextualSpacing/>
        <w:jc w:val="center"/>
        <w:rPr>
          <w:sz w:val="28"/>
          <w:szCs w:val="28"/>
        </w:rPr>
      </w:pPr>
      <w:bookmarkStart w:id="49" w:name="_Toc26367167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20</w:t>
      </w:r>
      <w:r w:rsidR="00D50FDC" w:rsidRPr="00C95F78">
        <w:rPr>
          <w:sz w:val="28"/>
          <w:szCs w:val="28"/>
        </w:rPr>
        <w:fldChar w:fldCharType="end"/>
      </w:r>
      <w:r w:rsidRPr="00C95F78">
        <w:rPr>
          <w:sz w:val="28"/>
          <w:szCs w:val="28"/>
        </w:rPr>
        <w:t xml:space="preserve">: </w:t>
      </w:r>
      <w:r w:rsidR="00440A05" w:rsidRPr="00C95F78">
        <w:rPr>
          <w:sz w:val="28"/>
          <w:szCs w:val="28"/>
        </w:rPr>
        <w:t xml:space="preserve">Plug-in </w:t>
      </w:r>
      <w:r w:rsidR="00A87884" w:rsidRPr="00C95F78">
        <w:rPr>
          <w:sz w:val="28"/>
          <w:szCs w:val="28"/>
        </w:rPr>
        <w:t>Hybrid Electric Vehicle Output Forecast (‘000 vehicles)</w:t>
      </w:r>
      <w:bookmarkEnd w:id="49"/>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204629"/>
            <wp:effectExtent l="1905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831840" cy="2204629"/>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611A5" w:rsidP="00BB1A5E">
      <w:pPr>
        <w:pStyle w:val="Caption"/>
        <w:contextualSpacing/>
        <w:jc w:val="center"/>
        <w:rPr>
          <w:sz w:val="28"/>
          <w:szCs w:val="28"/>
        </w:rPr>
      </w:pPr>
      <w:bookmarkStart w:id="50" w:name="_Toc26367167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21</w:t>
      </w:r>
      <w:r w:rsidR="00D50FDC" w:rsidRPr="00C95F78">
        <w:rPr>
          <w:sz w:val="28"/>
          <w:szCs w:val="28"/>
        </w:rPr>
        <w:fldChar w:fldCharType="end"/>
      </w:r>
      <w:r w:rsidRPr="00C95F78">
        <w:rPr>
          <w:sz w:val="28"/>
          <w:szCs w:val="28"/>
        </w:rPr>
        <w:t xml:space="preserve">: </w:t>
      </w:r>
      <w:r w:rsidR="00A87884" w:rsidRPr="00C95F78">
        <w:rPr>
          <w:sz w:val="28"/>
          <w:szCs w:val="28"/>
        </w:rPr>
        <w:t xml:space="preserve">Forecast Share of </w:t>
      </w:r>
      <w:r w:rsidR="0015470D" w:rsidRPr="00C95F78">
        <w:rPr>
          <w:sz w:val="28"/>
          <w:szCs w:val="28"/>
        </w:rPr>
        <w:t>P</w:t>
      </w:r>
      <w:r w:rsidR="00A87884" w:rsidRPr="00C95F78">
        <w:rPr>
          <w:sz w:val="28"/>
          <w:szCs w:val="28"/>
        </w:rPr>
        <w:t>HEVs of All Alternative Vehicle Output</w:t>
      </w:r>
      <w:bookmarkEnd w:id="50"/>
    </w:p>
    <w:p w:rsidR="005A48E2" w:rsidRPr="00C95F78" w:rsidRDefault="005A48E2" w:rsidP="00BB1A5E">
      <w:pPr>
        <w:spacing w:after="0" w:line="240" w:lineRule="auto"/>
        <w:contextualSpacing/>
        <w:jc w:val="both"/>
      </w:pPr>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204629"/>
            <wp:effectExtent l="1905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831840" cy="2204629"/>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6400E4" w:rsidP="00BB1A5E">
      <w:pPr>
        <w:spacing w:after="0" w:line="240" w:lineRule="auto"/>
        <w:contextualSpacing/>
        <w:jc w:val="both"/>
      </w:pPr>
      <w:r w:rsidRPr="00C95F78">
        <w:t xml:space="preserve">Our overall forecasts of vehicle output in this sector are based on consensus estimates. We have not made an allowance for the potential for greater two or three car ownership in families, different cars </w:t>
      </w:r>
      <w:r w:rsidR="000C6A0D" w:rsidRPr="00C95F78">
        <w:t>being used for short and long distance journeys. Any trend in this direction could easily be</w:t>
      </w:r>
      <w:r w:rsidR="00CE7319" w:rsidRPr="00C95F78">
        <w:t xml:space="preserve"> </w:t>
      </w:r>
      <w:r w:rsidR="00DE2CF5" w:rsidRPr="00C95F78">
        <w:t xml:space="preserve">counterbalanced by greater use of </w:t>
      </w:r>
      <w:r w:rsidR="000D59E5" w:rsidRPr="00C95F78">
        <w:t>car pooling arrangements</w:t>
      </w:r>
      <w:r w:rsidR="00DE2CF5" w:rsidRPr="00C95F78">
        <w:t xml:space="preserve"> and, indeed, reduced car use as home working and home shopping become more firmly entrenched and possibly also an enhanced role of public transport as car use in penalised.</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 xml:space="preserve">Amongst consultants, opinions vary greatly as to the nature and speed of penetration of alternative vehicle types. At the low end, Price Waterhouse estimates 10% or less penetration by 2020; Boston Consulting Group forecasts a 24% market </w:t>
      </w:r>
      <w:r w:rsidRPr="00C95F78">
        <w:rPr>
          <w:rFonts w:eastAsia="Times New Roman" w:cs="Times New Roman"/>
          <w:lang w:eastAsia="en-GB"/>
        </w:rPr>
        <w:t>share</w:t>
      </w:r>
      <w:r w:rsidRPr="00C95F78">
        <w:rPr>
          <w:rStyle w:val="FootnoteReference"/>
          <w:rFonts w:eastAsia="Times New Roman" w:cs="Times New Roman"/>
          <w:sz w:val="24"/>
          <w:szCs w:val="24"/>
          <w:lang w:eastAsia="en-GB"/>
        </w:rPr>
        <w:footnoteReference w:id="4"/>
      </w:r>
      <w:r w:rsidRPr="00C95F78">
        <w:rPr>
          <w:rFonts w:eastAsia="Times New Roman" w:cs="Times New Roman"/>
          <w:sz w:val="24"/>
          <w:szCs w:val="24"/>
          <w:lang w:eastAsia="en-GB"/>
        </w:rPr>
        <w:t xml:space="preserve">. </w:t>
      </w:r>
      <w:r w:rsidRPr="00C95F78">
        <w:t xml:space="preserve">Others put the figure higher at around 30%. Indeed, the normally conservative International Energy Authority forecasts that by 2020 the US passenger vehicle market will move from an almost exclusively ICE car market to a 50% ICE and 50% HEV, PHEV and BEV car market. </w:t>
      </w:r>
      <w:r w:rsidR="00C857C8" w:rsidRPr="00C95F78">
        <w:br w:type="page"/>
      </w:r>
    </w:p>
    <w:p w:rsidR="005A48E2" w:rsidRPr="00C95F78" w:rsidRDefault="008D25A3" w:rsidP="00BB1A5E">
      <w:pPr>
        <w:pStyle w:val="Caption"/>
        <w:contextualSpacing/>
        <w:jc w:val="center"/>
        <w:rPr>
          <w:sz w:val="28"/>
          <w:szCs w:val="28"/>
        </w:rPr>
      </w:pPr>
      <w:bookmarkStart w:id="51" w:name="_Toc26367167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22</w:t>
      </w:r>
      <w:r w:rsidR="00D50FDC" w:rsidRPr="00C95F78">
        <w:rPr>
          <w:sz w:val="28"/>
          <w:szCs w:val="28"/>
        </w:rPr>
        <w:fldChar w:fldCharType="end"/>
      </w:r>
      <w:r w:rsidRPr="00C95F78">
        <w:rPr>
          <w:sz w:val="28"/>
          <w:szCs w:val="28"/>
        </w:rPr>
        <w:t xml:space="preserve">: </w:t>
      </w:r>
      <w:r w:rsidR="0015470D" w:rsidRPr="00C95F78">
        <w:rPr>
          <w:sz w:val="28"/>
          <w:szCs w:val="28"/>
        </w:rPr>
        <w:t>Battery Electric Vehicle Output Forecast (‘000 vehicles)</w:t>
      </w:r>
      <w:bookmarkEnd w:id="51"/>
    </w:p>
    <w:p w:rsidR="005A48E2" w:rsidRPr="00C95F78" w:rsidRDefault="008D25A3" w:rsidP="00BB1A5E">
      <w:pPr>
        <w:spacing w:after="0" w:line="240" w:lineRule="auto"/>
        <w:contextualSpacing/>
        <w:jc w:val="both"/>
      </w:pPr>
      <w:r w:rsidRPr="00C95F78">
        <w:rPr>
          <w:noProof/>
          <w:lang w:val="en-US"/>
        </w:rPr>
        <w:drawing>
          <wp:inline distT="0" distB="0" distL="0" distR="0">
            <wp:extent cx="5880295" cy="2202106"/>
            <wp:effectExtent l="19050" t="0" r="6155"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611A5" w:rsidP="00BB1A5E">
      <w:pPr>
        <w:pStyle w:val="Caption"/>
        <w:contextualSpacing/>
        <w:jc w:val="center"/>
        <w:rPr>
          <w:sz w:val="28"/>
          <w:szCs w:val="28"/>
        </w:rPr>
      </w:pPr>
      <w:bookmarkStart w:id="52" w:name="_Toc26367167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23</w:t>
      </w:r>
      <w:r w:rsidR="00D50FDC" w:rsidRPr="00C95F78">
        <w:rPr>
          <w:sz w:val="28"/>
          <w:szCs w:val="28"/>
        </w:rPr>
        <w:fldChar w:fldCharType="end"/>
      </w:r>
      <w:r w:rsidRPr="00C95F78">
        <w:rPr>
          <w:sz w:val="28"/>
          <w:szCs w:val="28"/>
        </w:rPr>
        <w:t xml:space="preserve">: Share </w:t>
      </w:r>
      <w:r w:rsidR="0015470D" w:rsidRPr="00C95F78">
        <w:rPr>
          <w:sz w:val="28"/>
          <w:szCs w:val="28"/>
        </w:rPr>
        <w:t>Forecast Share of BEVs of All Alternative Vehicle Output</w:t>
      </w:r>
      <w:bookmarkEnd w:id="52"/>
    </w:p>
    <w:p w:rsidR="005A48E2" w:rsidRPr="00C95F78" w:rsidRDefault="004611A5" w:rsidP="00BB1A5E">
      <w:pPr>
        <w:spacing w:after="0" w:line="240" w:lineRule="auto"/>
        <w:contextualSpacing/>
        <w:jc w:val="both"/>
      </w:pPr>
      <w:r w:rsidRPr="00C95F78">
        <w:rPr>
          <w:noProof/>
          <w:lang w:val="en-US"/>
        </w:rPr>
        <w:drawing>
          <wp:inline distT="0" distB="0" distL="0" distR="0">
            <wp:extent cx="5880295" cy="2202106"/>
            <wp:effectExtent l="19050" t="0" r="6155" b="0"/>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In our forecasts, we have taken a mid-range figure, assuming that by 2020 the share of alternative vehicle types will have reached 16.8%, or 17 million vehicles. We see the realistic range as being between 10 million and 25 million vehicles.</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 xml:space="preserve">Even greater disagreement is apparent as to the balance between alternative types of vehicle. We believe that when the appropriate battery and fuel cell technologies become available, there will be a rapid commercialisation of BEVs and FCEVs. We recognise, however, that the development of relatively cheap high density batteries and fuel cells could take longer than we are estimating, and that the development of both requires the building of a charging infrastructure which in </w:t>
      </w:r>
      <w:r w:rsidR="00E210D2" w:rsidRPr="00C95F78">
        <w:t>turn</w:t>
      </w:r>
      <w:r w:rsidRPr="00C95F78">
        <w:t xml:space="preserve"> would need considerable government backing.</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For 2020, our forecasts indicate output of 6.8 million HEVs (40% of alternative vehicles), 4.3 million PHEVs (26%), 5.3 million BEVs (31%) and 0.5 million FCEVs (3%). We recognise, however, that it is also possible that HEVs and PHEVs will dominate this market, and that FCEVs may not show any significant development within the forecast time frame.</w:t>
      </w:r>
    </w:p>
    <w:p w:rsidR="004D6789" w:rsidRPr="00C95F78" w:rsidRDefault="000236FE" w:rsidP="00BB1A5E">
      <w:pPr>
        <w:spacing w:line="240" w:lineRule="auto"/>
        <w:jc w:val="both"/>
        <w:rPr>
          <w:b/>
          <w:bCs/>
          <w:color w:val="4F81BD" w:themeColor="accent1"/>
          <w:sz w:val="28"/>
          <w:szCs w:val="28"/>
        </w:rPr>
      </w:pPr>
      <w:r w:rsidRPr="00C95F78">
        <w:rPr>
          <w:sz w:val="28"/>
          <w:szCs w:val="28"/>
        </w:rPr>
        <w:br w:type="page"/>
      </w:r>
    </w:p>
    <w:p w:rsidR="001D7D0B" w:rsidRPr="00C95F78" w:rsidRDefault="001D7D0B" w:rsidP="00BB1A5E">
      <w:pPr>
        <w:pStyle w:val="Caption"/>
        <w:contextualSpacing/>
        <w:jc w:val="center"/>
        <w:rPr>
          <w:sz w:val="28"/>
          <w:szCs w:val="28"/>
        </w:rPr>
      </w:pPr>
      <w:bookmarkStart w:id="53" w:name="_Toc26367167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24</w:t>
      </w:r>
      <w:r w:rsidR="00D50FDC" w:rsidRPr="00C95F78">
        <w:rPr>
          <w:sz w:val="28"/>
          <w:szCs w:val="28"/>
        </w:rPr>
        <w:fldChar w:fldCharType="end"/>
      </w:r>
      <w:r w:rsidRPr="00C95F78">
        <w:rPr>
          <w:sz w:val="28"/>
          <w:szCs w:val="28"/>
        </w:rPr>
        <w:t xml:space="preserve">: </w:t>
      </w:r>
      <w:r w:rsidR="0015470D" w:rsidRPr="00C95F78">
        <w:rPr>
          <w:sz w:val="28"/>
          <w:szCs w:val="28"/>
        </w:rPr>
        <w:t>Fuel Cell Electric Vehicle Output Forecast (‘000 vehicles)</w:t>
      </w:r>
      <w:bookmarkEnd w:id="53"/>
    </w:p>
    <w:p w:rsidR="005A48E2" w:rsidRPr="00C95F78" w:rsidRDefault="005A48E2" w:rsidP="00BB1A5E">
      <w:pPr>
        <w:spacing w:after="0" w:line="240" w:lineRule="auto"/>
        <w:contextualSpacing/>
        <w:jc w:val="both"/>
      </w:pPr>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174837"/>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831840" cy="217483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611A5" w:rsidP="00BB1A5E">
      <w:pPr>
        <w:pStyle w:val="Caption"/>
        <w:contextualSpacing/>
        <w:jc w:val="center"/>
        <w:rPr>
          <w:sz w:val="28"/>
          <w:szCs w:val="28"/>
        </w:rPr>
      </w:pPr>
      <w:bookmarkStart w:id="54" w:name="_Toc26367167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25</w:t>
      </w:r>
      <w:r w:rsidR="00D50FDC" w:rsidRPr="00C95F78">
        <w:rPr>
          <w:sz w:val="28"/>
          <w:szCs w:val="28"/>
        </w:rPr>
        <w:fldChar w:fldCharType="end"/>
      </w:r>
      <w:r w:rsidRPr="00C95F78">
        <w:rPr>
          <w:sz w:val="28"/>
          <w:szCs w:val="28"/>
        </w:rPr>
        <w:t xml:space="preserve">: </w:t>
      </w:r>
      <w:r w:rsidR="0015470D" w:rsidRPr="00C95F78">
        <w:rPr>
          <w:sz w:val="28"/>
          <w:szCs w:val="28"/>
        </w:rPr>
        <w:t>Share Forecast Share of FCEVs of All Alternative Vehicle Output</w:t>
      </w:r>
      <w:bookmarkEnd w:id="54"/>
    </w:p>
    <w:p w:rsidR="005A48E2" w:rsidRPr="00C95F78" w:rsidRDefault="005A48E2" w:rsidP="00BB1A5E">
      <w:pPr>
        <w:spacing w:after="0" w:line="240" w:lineRule="auto"/>
        <w:contextualSpacing/>
        <w:jc w:val="both"/>
      </w:pPr>
    </w:p>
    <w:p w:rsidR="005A48E2" w:rsidRPr="00C95F78" w:rsidRDefault="0014773D" w:rsidP="00BB1A5E">
      <w:pPr>
        <w:spacing w:after="0" w:line="240" w:lineRule="auto"/>
        <w:contextualSpacing/>
        <w:jc w:val="both"/>
      </w:pPr>
      <w:r w:rsidRPr="00C95F78">
        <w:rPr>
          <w:noProof/>
          <w:lang w:val="en-US"/>
        </w:rPr>
        <w:drawing>
          <wp:inline distT="0" distB="0" distL="0" distR="0">
            <wp:extent cx="5831840" cy="2174837"/>
            <wp:effectExtent l="1905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831840" cy="217483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Whatever the relative penetration of the different alternative vehicle types, it is very likely that both Europe and China will attempt to leapfrog the technology trend, focussing less on HEVs and PHEVs, more on BEVs and possibly also FCEVs.</w:t>
      </w:r>
    </w:p>
    <w:p w:rsidR="005A48E2" w:rsidRPr="00C95F78" w:rsidRDefault="005A48E2" w:rsidP="00BB1A5E">
      <w:pPr>
        <w:spacing w:after="0" w:line="240" w:lineRule="auto"/>
        <w:contextualSpacing/>
        <w:jc w:val="both"/>
      </w:pPr>
    </w:p>
    <w:p w:rsidR="005A48E2" w:rsidRPr="00C95F78" w:rsidRDefault="00DE2CF5" w:rsidP="00BB1A5E">
      <w:pPr>
        <w:spacing w:after="0" w:line="240" w:lineRule="auto"/>
        <w:contextualSpacing/>
        <w:jc w:val="both"/>
      </w:pPr>
      <w:r w:rsidRPr="00C95F78">
        <w:t>While the proportion of ICE vehicles amongst overall vehicle sales is set to decline, it is not necessarily the case that absolute vehicle numbers will fall. Indeed, with relatively solid growth in overall vehicle output expected (driven by a rapid increase in penetration in developing Asia), only a very r</w:t>
      </w:r>
      <w:r w:rsidR="00161F71" w:rsidRPr="00C95F78">
        <w:t>o</w:t>
      </w:r>
      <w:r w:rsidRPr="00C95F78">
        <w:t xml:space="preserve">bust forecast of alternative vehicle penetration would </w:t>
      </w:r>
      <w:r w:rsidR="00161F71" w:rsidRPr="00C95F78">
        <w:t>give us a fall in ICE vehicle output. We forecast an increase of 0.9% p.a., from 60 million units in 2010 to 84 million units in 2020. With such large numbers still in place, it should be remembered that any development that increases (or decreases) copper use per unit will have a huge impact on copper use in the automotive sector overall.</w:t>
      </w:r>
    </w:p>
    <w:p w:rsidR="005A48E2" w:rsidRPr="00C95F78" w:rsidRDefault="005A48E2" w:rsidP="00BB1A5E">
      <w:pPr>
        <w:spacing w:after="0" w:line="240" w:lineRule="auto"/>
        <w:contextualSpacing/>
        <w:jc w:val="both"/>
      </w:pPr>
    </w:p>
    <w:p w:rsidR="004D6789" w:rsidRPr="00C95F78" w:rsidRDefault="000236FE" w:rsidP="00BB1A5E">
      <w:pPr>
        <w:spacing w:line="240" w:lineRule="auto"/>
        <w:jc w:val="both"/>
        <w:rPr>
          <w:b/>
          <w:bCs/>
          <w:color w:val="4F81BD" w:themeColor="accent1"/>
          <w:sz w:val="28"/>
          <w:szCs w:val="28"/>
        </w:rPr>
      </w:pPr>
      <w:r w:rsidRPr="00C95F78">
        <w:rPr>
          <w:sz w:val="28"/>
          <w:szCs w:val="28"/>
        </w:rPr>
        <w:br w:type="page"/>
      </w:r>
    </w:p>
    <w:p w:rsidR="00440EEC" w:rsidRPr="00C95F78" w:rsidRDefault="00440EEC" w:rsidP="00BB1A5E">
      <w:pPr>
        <w:pStyle w:val="Caption"/>
        <w:contextualSpacing/>
        <w:jc w:val="center"/>
        <w:rPr>
          <w:sz w:val="28"/>
          <w:szCs w:val="28"/>
        </w:rPr>
      </w:pPr>
      <w:bookmarkStart w:id="55" w:name="_Toc26367168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26</w:t>
      </w:r>
      <w:r w:rsidR="00D50FDC" w:rsidRPr="00C95F78">
        <w:rPr>
          <w:sz w:val="28"/>
          <w:szCs w:val="28"/>
        </w:rPr>
        <w:fldChar w:fldCharType="end"/>
      </w:r>
      <w:r w:rsidR="0015470D" w:rsidRPr="00C95F78">
        <w:rPr>
          <w:sz w:val="28"/>
          <w:szCs w:val="28"/>
        </w:rPr>
        <w:t xml:space="preserve"> </w:t>
      </w:r>
      <w:r w:rsidR="00E210D2" w:rsidRPr="00C95F78">
        <w:rPr>
          <w:sz w:val="28"/>
          <w:szCs w:val="28"/>
        </w:rPr>
        <w:t>ICE</w:t>
      </w:r>
      <w:r w:rsidR="0015470D" w:rsidRPr="00C95F78">
        <w:rPr>
          <w:sz w:val="28"/>
          <w:szCs w:val="28"/>
        </w:rPr>
        <w:t xml:space="preserve"> Vehicle Output Forecast (‘000 vehicles)</w:t>
      </w:r>
      <w:bookmarkEnd w:id="55"/>
    </w:p>
    <w:p w:rsidR="005A48E2" w:rsidRPr="00C95F78" w:rsidRDefault="00440EEC" w:rsidP="00BB1A5E">
      <w:pPr>
        <w:spacing w:after="0" w:line="240" w:lineRule="auto"/>
        <w:contextualSpacing/>
        <w:jc w:val="both"/>
      </w:pPr>
      <w:r w:rsidRPr="00C95F78">
        <w:rPr>
          <w:noProof/>
          <w:lang w:val="en-US"/>
        </w:rPr>
        <w:drawing>
          <wp:inline distT="0" distB="0" distL="0" distR="0">
            <wp:extent cx="5880295" cy="2232054"/>
            <wp:effectExtent l="19050" t="0" r="6155" b="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t="11009"/>
                    <a:stretch>
                      <a:fillRect/>
                    </a:stretch>
                  </pic:blipFill>
                  <pic:spPr bwMode="auto">
                    <a:xfrm>
                      <a:off x="0" y="0"/>
                      <a:ext cx="5880295" cy="2232054"/>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E42268" w:rsidP="00BB1A5E">
      <w:pPr>
        <w:pStyle w:val="Caption"/>
        <w:contextualSpacing/>
        <w:jc w:val="center"/>
        <w:rPr>
          <w:sz w:val="28"/>
          <w:szCs w:val="28"/>
        </w:rPr>
      </w:pPr>
      <w:bookmarkStart w:id="56" w:name="_Toc26367168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27</w:t>
      </w:r>
      <w:r w:rsidR="00D50FDC" w:rsidRPr="00C95F78">
        <w:rPr>
          <w:sz w:val="28"/>
          <w:szCs w:val="28"/>
        </w:rPr>
        <w:fldChar w:fldCharType="end"/>
      </w:r>
      <w:r w:rsidRPr="00C95F78">
        <w:rPr>
          <w:sz w:val="28"/>
          <w:szCs w:val="28"/>
        </w:rPr>
        <w:t xml:space="preserve">: </w:t>
      </w:r>
      <w:r w:rsidR="0015470D" w:rsidRPr="00C95F78">
        <w:rPr>
          <w:sz w:val="28"/>
          <w:szCs w:val="28"/>
        </w:rPr>
        <w:t>Forecast Share of IC</w:t>
      </w:r>
      <w:r w:rsidR="00E210D2" w:rsidRPr="00C95F78">
        <w:rPr>
          <w:sz w:val="28"/>
          <w:szCs w:val="28"/>
        </w:rPr>
        <w:t xml:space="preserve">E </w:t>
      </w:r>
      <w:r w:rsidR="0015470D" w:rsidRPr="00C95F78">
        <w:rPr>
          <w:sz w:val="28"/>
          <w:szCs w:val="28"/>
        </w:rPr>
        <w:t>V</w:t>
      </w:r>
      <w:r w:rsidR="00E210D2" w:rsidRPr="00C95F78">
        <w:rPr>
          <w:sz w:val="28"/>
          <w:szCs w:val="28"/>
        </w:rPr>
        <w:t>ehicle</w:t>
      </w:r>
      <w:r w:rsidR="0015470D" w:rsidRPr="00C95F78">
        <w:rPr>
          <w:sz w:val="28"/>
          <w:szCs w:val="28"/>
        </w:rPr>
        <w:t>s of All Vehicle Output</w:t>
      </w:r>
      <w:bookmarkEnd w:id="56"/>
    </w:p>
    <w:p w:rsidR="005A48E2" w:rsidRPr="00C95F78" w:rsidRDefault="00E42268" w:rsidP="00BB1A5E">
      <w:pPr>
        <w:spacing w:after="0" w:line="240" w:lineRule="auto"/>
        <w:contextualSpacing/>
        <w:jc w:val="both"/>
      </w:pPr>
      <w:r w:rsidRPr="00C95F78">
        <w:rPr>
          <w:noProof/>
          <w:lang w:val="en-US"/>
        </w:rPr>
        <w:drawing>
          <wp:inline distT="0" distB="0" distL="0" distR="0">
            <wp:extent cx="5880295" cy="2232054"/>
            <wp:effectExtent l="19050" t="0" r="6155" b="0"/>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t="11009"/>
                    <a:stretch>
                      <a:fillRect/>
                    </a:stretch>
                  </pic:blipFill>
                  <pic:spPr bwMode="auto">
                    <a:xfrm>
                      <a:off x="0" y="0"/>
                      <a:ext cx="5880295" cy="2232054"/>
                    </a:xfrm>
                    <a:prstGeom prst="rect">
                      <a:avLst/>
                    </a:prstGeom>
                    <a:noFill/>
                    <a:ln w="9525">
                      <a:noFill/>
                      <a:miter lim="800000"/>
                      <a:headEnd/>
                      <a:tailEnd/>
                    </a:ln>
                  </pic:spPr>
                </pic:pic>
              </a:graphicData>
            </a:graphic>
          </wp:inline>
        </w:drawing>
      </w:r>
    </w:p>
    <w:p w:rsidR="005A48E2" w:rsidRDefault="005A48E2" w:rsidP="00BB1A5E">
      <w:pPr>
        <w:spacing w:after="0" w:line="240" w:lineRule="auto"/>
        <w:contextualSpacing/>
        <w:jc w:val="both"/>
      </w:pPr>
    </w:p>
    <w:p w:rsidR="00E3629A" w:rsidRDefault="00E3629A" w:rsidP="00BB1A5E">
      <w:pPr>
        <w:spacing w:after="0" w:line="240" w:lineRule="auto"/>
        <w:contextualSpacing/>
        <w:jc w:val="both"/>
      </w:pPr>
    </w:p>
    <w:p w:rsidR="00E3629A" w:rsidRPr="00C95F78" w:rsidRDefault="00E3629A" w:rsidP="00BB1A5E">
      <w:pPr>
        <w:spacing w:after="0" w:line="240" w:lineRule="auto"/>
        <w:contextualSpacing/>
        <w:jc w:val="both"/>
      </w:pPr>
    </w:p>
    <w:p w:rsidR="005A48E2" w:rsidRPr="00C95F78" w:rsidRDefault="00547426" w:rsidP="00BB1A5E">
      <w:pPr>
        <w:pStyle w:val="Caption"/>
        <w:contextualSpacing/>
        <w:jc w:val="center"/>
        <w:rPr>
          <w:sz w:val="28"/>
          <w:szCs w:val="28"/>
        </w:rPr>
      </w:pPr>
      <w:bookmarkStart w:id="57" w:name="_Toc26367168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28</w:t>
      </w:r>
      <w:r w:rsidR="00D50FDC" w:rsidRPr="00C95F78">
        <w:rPr>
          <w:sz w:val="28"/>
          <w:szCs w:val="28"/>
        </w:rPr>
        <w:fldChar w:fldCharType="end"/>
      </w:r>
      <w:r w:rsidRPr="00C95F78">
        <w:rPr>
          <w:sz w:val="28"/>
          <w:szCs w:val="28"/>
        </w:rPr>
        <w:t xml:space="preserve">: </w:t>
      </w:r>
      <w:r w:rsidR="00980DAF" w:rsidRPr="00C95F78">
        <w:rPr>
          <w:sz w:val="28"/>
          <w:szCs w:val="28"/>
        </w:rPr>
        <w:t>Forecast Share of IC</w:t>
      </w:r>
      <w:r w:rsidR="00E210D2" w:rsidRPr="00C95F78">
        <w:rPr>
          <w:sz w:val="28"/>
          <w:szCs w:val="28"/>
        </w:rPr>
        <w:t xml:space="preserve">E </w:t>
      </w:r>
      <w:r w:rsidR="00980DAF" w:rsidRPr="00C95F78">
        <w:rPr>
          <w:sz w:val="28"/>
          <w:szCs w:val="28"/>
        </w:rPr>
        <w:t>V</w:t>
      </w:r>
      <w:r w:rsidR="00E210D2" w:rsidRPr="00C95F78">
        <w:rPr>
          <w:sz w:val="28"/>
          <w:szCs w:val="28"/>
        </w:rPr>
        <w:t>ehicle</w:t>
      </w:r>
      <w:r w:rsidR="00980DAF" w:rsidRPr="00C95F78">
        <w:rPr>
          <w:sz w:val="28"/>
          <w:szCs w:val="28"/>
        </w:rPr>
        <w:t>s with Enhanced Features</w:t>
      </w:r>
      <w:bookmarkEnd w:id="57"/>
    </w:p>
    <w:p w:rsidR="005A48E2" w:rsidRPr="00C95F78" w:rsidRDefault="00547426" w:rsidP="00BB1A5E">
      <w:pPr>
        <w:spacing w:after="0" w:line="240" w:lineRule="auto"/>
        <w:contextualSpacing/>
        <w:jc w:val="both"/>
      </w:pPr>
      <w:r w:rsidRPr="00C95F78">
        <w:rPr>
          <w:noProof/>
          <w:lang w:val="en-US"/>
        </w:rPr>
        <w:drawing>
          <wp:inline distT="0" distB="0" distL="0" distR="0">
            <wp:extent cx="5880295" cy="2202106"/>
            <wp:effectExtent l="19050" t="0" r="6155" b="0"/>
            <wp:docPr id="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t="11142"/>
                    <a:stretch>
                      <a:fillRect/>
                    </a:stretch>
                  </pic:blipFill>
                  <pic:spPr bwMode="auto">
                    <a:xfrm>
                      <a:off x="0" y="0"/>
                      <a:ext cx="5880295" cy="220210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sz w:val="12"/>
          <w:szCs w:val="12"/>
        </w:rPr>
      </w:pPr>
    </w:p>
    <w:p w:rsidR="005A48E2" w:rsidRPr="00C95F78" w:rsidRDefault="00980DAF" w:rsidP="00BB1A5E">
      <w:pPr>
        <w:spacing w:after="0" w:line="240" w:lineRule="auto"/>
        <w:contextualSpacing/>
        <w:jc w:val="both"/>
        <w:rPr>
          <w:sz w:val="16"/>
          <w:szCs w:val="16"/>
        </w:rPr>
      </w:pPr>
      <w:r w:rsidRPr="00C95F78">
        <w:rPr>
          <w:sz w:val="16"/>
          <w:szCs w:val="16"/>
        </w:rPr>
        <w:t>Note: Includes reciprocal braking and electromagnetic transmission. Calculated as a share of IC</w:t>
      </w:r>
      <w:r w:rsidR="00E210D2" w:rsidRPr="00C95F78">
        <w:rPr>
          <w:sz w:val="16"/>
          <w:szCs w:val="16"/>
        </w:rPr>
        <w:t xml:space="preserve">E </w:t>
      </w:r>
      <w:r w:rsidRPr="00C95F78">
        <w:rPr>
          <w:sz w:val="16"/>
          <w:szCs w:val="16"/>
        </w:rPr>
        <w:t>V</w:t>
      </w:r>
      <w:r w:rsidR="00E210D2" w:rsidRPr="00C95F78">
        <w:rPr>
          <w:sz w:val="16"/>
          <w:szCs w:val="16"/>
        </w:rPr>
        <w:t>ehicle</w:t>
      </w:r>
      <w:r w:rsidRPr="00C95F78">
        <w:rPr>
          <w:sz w:val="16"/>
          <w:szCs w:val="16"/>
        </w:rPr>
        <w:t>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E3629A" w:rsidRDefault="000C6A0D" w:rsidP="00E3629A">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58" w:name="_Toc263688577"/>
      <w:r w:rsidRPr="00E3629A">
        <w:rPr>
          <w:rFonts w:asciiTheme="minorHAnsi" w:hAnsiTheme="minorHAnsi"/>
          <w:color w:val="365F91" w:themeColor="accent1" w:themeShade="BF"/>
          <w:sz w:val="26"/>
          <w:szCs w:val="26"/>
        </w:rPr>
        <w:t>T</w:t>
      </w:r>
      <w:r w:rsidR="00161F71" w:rsidRPr="00E3629A">
        <w:rPr>
          <w:rFonts w:asciiTheme="minorHAnsi" w:hAnsiTheme="minorHAnsi"/>
          <w:color w:val="365F91" w:themeColor="accent1" w:themeShade="BF"/>
          <w:sz w:val="26"/>
          <w:szCs w:val="26"/>
        </w:rPr>
        <w:t>he Impact on Copper</w:t>
      </w:r>
      <w:bookmarkEnd w:id="58"/>
    </w:p>
    <w:p w:rsidR="005A48E2" w:rsidRPr="00C95F78" w:rsidRDefault="005A48E2" w:rsidP="00BB1A5E">
      <w:pPr>
        <w:spacing w:after="0" w:line="240" w:lineRule="auto"/>
        <w:contextualSpacing/>
        <w:jc w:val="both"/>
      </w:pPr>
    </w:p>
    <w:p w:rsidR="005A48E2" w:rsidRPr="00C95F78" w:rsidRDefault="00ED42CB"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General Comments</w:t>
      </w:r>
    </w:p>
    <w:p w:rsidR="005A48E2" w:rsidRPr="00C95F78" w:rsidRDefault="005A48E2" w:rsidP="00BB1A5E">
      <w:pPr>
        <w:spacing w:after="0" w:line="240" w:lineRule="auto"/>
        <w:contextualSpacing/>
        <w:jc w:val="both"/>
      </w:pPr>
    </w:p>
    <w:p w:rsidR="005A48E2" w:rsidRPr="00C95F78" w:rsidRDefault="00ED42CB" w:rsidP="00BB1A5E">
      <w:pPr>
        <w:spacing w:after="0" w:line="240" w:lineRule="auto"/>
        <w:contextualSpacing/>
        <w:jc w:val="both"/>
      </w:pPr>
      <w:r w:rsidRPr="00C95F78">
        <w:t xml:space="preserve">Hybrid vehicles, by their nature, require two propulsion systems to run alongside each other. This means that as well as the components associated with the </w:t>
      </w:r>
      <w:r w:rsidR="002509D0" w:rsidRPr="00C95F78">
        <w:t>ICE</w:t>
      </w:r>
      <w:r w:rsidRPr="00C95F78">
        <w:t xml:space="preserve"> vehicle, many cars of the future will have an HV battery, an HV wire harness, an electric motor for propulsion and power electronics.</w:t>
      </w:r>
      <w:r w:rsidR="002509D0" w:rsidRPr="00C95F78">
        <w:t xml:space="preserve"> Also, a charging point on board the vehicle and </w:t>
      </w:r>
    </w:p>
    <w:p w:rsidR="005A48E2" w:rsidRPr="00C95F78" w:rsidRDefault="005A48E2" w:rsidP="00BB1A5E">
      <w:pPr>
        <w:spacing w:after="0" w:line="240" w:lineRule="auto"/>
        <w:contextualSpacing/>
        <w:jc w:val="both"/>
      </w:pPr>
    </w:p>
    <w:p w:rsidR="005A48E2" w:rsidRPr="00C95F78" w:rsidRDefault="00ED42CB" w:rsidP="00BB1A5E">
      <w:pPr>
        <w:spacing w:after="0" w:line="240" w:lineRule="auto"/>
        <w:contextualSpacing/>
        <w:jc w:val="both"/>
      </w:pPr>
      <w:r w:rsidRPr="00C95F78">
        <w:t xml:space="preserve">In the transition from hybrid to full electric vehicle, components and systems associated with the IC engine will be lost, including a good deal of </w:t>
      </w:r>
      <w:r w:rsidR="0040112D" w:rsidRPr="00C95F78">
        <w:t xml:space="preserve">12V </w:t>
      </w:r>
      <w:r w:rsidRPr="00C95F78">
        <w:t xml:space="preserve">wiring. There will be a gain, however, with all of the copper containing elements going to make </w:t>
      </w:r>
      <w:r w:rsidR="00A80823" w:rsidRPr="00C95F78">
        <w:t>up the electric power train being much stronger.</w:t>
      </w:r>
    </w:p>
    <w:p w:rsidR="005A48E2" w:rsidRPr="00C95F78" w:rsidRDefault="005A48E2" w:rsidP="00BB1A5E">
      <w:pPr>
        <w:spacing w:after="0" w:line="240" w:lineRule="auto"/>
        <w:contextualSpacing/>
        <w:jc w:val="both"/>
      </w:pPr>
    </w:p>
    <w:p w:rsidR="005A48E2" w:rsidRPr="00C95F78" w:rsidRDefault="00A80823" w:rsidP="00BB1A5E">
      <w:pPr>
        <w:spacing w:after="0" w:line="240" w:lineRule="auto"/>
        <w:contextualSpacing/>
        <w:jc w:val="both"/>
      </w:pPr>
      <w:r w:rsidRPr="00C95F78">
        <w:t>Fuel cell vehicles will contain many of the same elements as the battery operated vehicles. There may also be hybrid fuel cell technologies. Additionally, the high operating temperature of FCEVs will mean a need for much higher capacity heat exchangers, possibly also with higher copper content equipment designed to operate at higher temperatures.</w:t>
      </w:r>
    </w:p>
    <w:p w:rsidR="005A48E2" w:rsidRPr="00C95F78" w:rsidRDefault="005A48E2" w:rsidP="00BB1A5E">
      <w:pPr>
        <w:spacing w:after="0" w:line="240" w:lineRule="auto"/>
        <w:contextualSpacing/>
        <w:jc w:val="both"/>
      </w:pPr>
    </w:p>
    <w:p w:rsidR="005A48E2" w:rsidRPr="00C95F78" w:rsidRDefault="00A80823" w:rsidP="00BB1A5E">
      <w:pPr>
        <w:spacing w:after="0" w:line="240" w:lineRule="auto"/>
        <w:contextualSpacing/>
        <w:jc w:val="both"/>
      </w:pPr>
      <w:r w:rsidRPr="00C95F78">
        <w:t>While the introduction of some aluminium wiring is likely to mean a net loss of copper for ICE vehicles overall, there are some positive developments that could lead to small additions. These include regenerative braking and electromagnetic transmission.</w:t>
      </w:r>
    </w:p>
    <w:p w:rsidR="005A48E2" w:rsidRPr="00C95F78" w:rsidRDefault="005A48E2" w:rsidP="00BB1A5E">
      <w:pPr>
        <w:spacing w:after="0" w:line="240" w:lineRule="auto"/>
        <w:contextualSpacing/>
        <w:jc w:val="both"/>
      </w:pPr>
    </w:p>
    <w:p w:rsidR="005A48E2" w:rsidRPr="00C95F78" w:rsidRDefault="00A80823" w:rsidP="00BB1A5E">
      <w:pPr>
        <w:spacing w:after="0" w:line="240" w:lineRule="auto"/>
        <w:contextualSpacing/>
        <w:jc w:val="both"/>
      </w:pPr>
      <w:r w:rsidRPr="00C95F78">
        <w:t>In the following, we briefly review the implications of the new vehicle components by technology.</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ED42CB" w:rsidP="00BB1A5E">
      <w:pPr>
        <w:pStyle w:val="Caption"/>
        <w:contextualSpacing/>
        <w:jc w:val="center"/>
        <w:rPr>
          <w:sz w:val="28"/>
          <w:szCs w:val="28"/>
        </w:rPr>
      </w:pPr>
      <w:bookmarkStart w:id="59" w:name="_Toc26367168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29</w:t>
      </w:r>
      <w:r w:rsidR="00D50FDC" w:rsidRPr="00C95F78">
        <w:rPr>
          <w:sz w:val="28"/>
          <w:szCs w:val="28"/>
        </w:rPr>
        <w:fldChar w:fldCharType="end"/>
      </w:r>
      <w:r w:rsidRPr="00C95F78">
        <w:rPr>
          <w:sz w:val="28"/>
          <w:szCs w:val="28"/>
        </w:rPr>
        <w:t>: Schematic Diagram of a PHEV</w:t>
      </w:r>
      <w:bookmarkEnd w:id="59"/>
    </w:p>
    <w:p w:rsidR="005A48E2" w:rsidRPr="00C95F78" w:rsidRDefault="00ED42CB" w:rsidP="00BB1A5E">
      <w:pPr>
        <w:spacing w:after="0" w:line="240" w:lineRule="auto"/>
        <w:ind w:left="1021"/>
        <w:contextualSpacing/>
        <w:jc w:val="both"/>
      </w:pPr>
      <w:r w:rsidRPr="00C95F78">
        <w:rPr>
          <w:noProof/>
          <w:lang w:val="en-US"/>
        </w:rPr>
        <w:drawing>
          <wp:inline distT="0" distB="0" distL="0" distR="0">
            <wp:extent cx="4714875" cy="30956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714875" cy="3095625"/>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A80823"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Electric Motors</w:t>
      </w:r>
    </w:p>
    <w:p w:rsidR="005A48E2" w:rsidRPr="00C95F78" w:rsidRDefault="005A48E2" w:rsidP="00BB1A5E">
      <w:pPr>
        <w:spacing w:after="0" w:line="240" w:lineRule="auto"/>
        <w:contextualSpacing/>
        <w:jc w:val="both"/>
      </w:pPr>
    </w:p>
    <w:p w:rsidR="005A48E2" w:rsidRPr="00C95F78" w:rsidRDefault="00D62DF7" w:rsidP="00BB1A5E">
      <w:pPr>
        <w:spacing w:after="0" w:line="240" w:lineRule="auto"/>
        <w:contextualSpacing/>
        <w:jc w:val="both"/>
      </w:pPr>
      <w:r w:rsidRPr="00C95F78">
        <w:t>The core of the electrical propulsion system is the electric motor. Power, space and longevity requirements are likely to ensure that this motor will be copper. The size of motor will vary by vehicle type. We estimate that an HEV motor will typically contain 5 kg of copper, a PHEV 10 kg and a BEV or FCEV 14 kg of copper.</w:t>
      </w:r>
    </w:p>
    <w:p w:rsidR="005A48E2" w:rsidRPr="00C95F78" w:rsidRDefault="00D62DF7" w:rsidP="00BB1A5E">
      <w:pPr>
        <w:pStyle w:val="Caption"/>
        <w:contextualSpacing/>
        <w:jc w:val="center"/>
        <w:rPr>
          <w:sz w:val="28"/>
          <w:szCs w:val="28"/>
        </w:rPr>
      </w:pPr>
      <w:bookmarkStart w:id="60" w:name="_Toc26367168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30</w:t>
      </w:r>
      <w:r w:rsidR="00D50FDC" w:rsidRPr="00C95F78">
        <w:rPr>
          <w:sz w:val="28"/>
          <w:szCs w:val="28"/>
        </w:rPr>
        <w:fldChar w:fldCharType="end"/>
      </w:r>
      <w:r w:rsidRPr="00C95F78">
        <w:rPr>
          <w:sz w:val="28"/>
          <w:szCs w:val="28"/>
        </w:rPr>
        <w:t>: Additional Copper per Vehicle (kg)</w:t>
      </w:r>
      <w:bookmarkEnd w:id="60"/>
    </w:p>
    <w:p w:rsidR="005A48E2" w:rsidRPr="00C95F78" w:rsidRDefault="005A48E2" w:rsidP="00BB1A5E">
      <w:pPr>
        <w:spacing w:after="0" w:line="240" w:lineRule="auto"/>
        <w:contextualSpacing/>
        <w:jc w:val="both"/>
      </w:pPr>
    </w:p>
    <w:p w:rsidR="005A48E2" w:rsidRPr="00C95F78" w:rsidRDefault="003B608C" w:rsidP="00BB1A5E">
      <w:pPr>
        <w:spacing w:after="0" w:line="240" w:lineRule="auto"/>
        <w:contextualSpacing/>
        <w:jc w:val="both"/>
      </w:pPr>
      <w:r w:rsidRPr="00C95F78">
        <w:rPr>
          <w:noProof/>
          <w:lang w:val="en-US"/>
        </w:rPr>
        <w:drawing>
          <wp:inline distT="0" distB="0" distL="0" distR="0">
            <wp:extent cx="5831840" cy="1792176"/>
            <wp:effectExtent l="19050" t="0" r="0" b="0"/>
            <wp:docPr id="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831840" cy="1792176"/>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D62DF7" w:rsidP="00BB1A5E">
      <w:pPr>
        <w:spacing w:after="0" w:line="240" w:lineRule="auto"/>
        <w:contextualSpacing/>
        <w:jc w:val="both"/>
      </w:pPr>
      <w:r w:rsidRPr="00C95F78">
        <w:t>Space constraints and energy efficiency requirements are likely to mean the use of relatively small motors able to create a large amount of power. This can be done by running a motor very fast, which has positive indications for copper in the need to dissipate heat or run the area around the motor at very high temperatures</w:t>
      </w:r>
      <w:r w:rsidR="00781689" w:rsidRPr="00C95F78">
        <w:t xml:space="preserve">, or with intrinsically more efficient motors. </w:t>
      </w:r>
      <w:r w:rsidR="0040112D" w:rsidRPr="00C95F78">
        <w:t>The</w:t>
      </w:r>
      <w:r w:rsidR="00781689" w:rsidRPr="00C95F78">
        <w:t xml:space="preserve"> US Energy Efficiency &amp; Renewable Energy (EERE) Technology Program is looking for a 10% increase in motor efficiency and, to reduce weight, a 55% increase in power density for automotive propulsion motors</w:t>
      </w:r>
      <w:r w:rsidRPr="00C95F78">
        <w:t>.</w:t>
      </w:r>
    </w:p>
    <w:p w:rsidR="005A48E2" w:rsidRPr="00C95F78" w:rsidRDefault="005A48E2" w:rsidP="00BB1A5E">
      <w:pPr>
        <w:spacing w:after="0" w:line="240" w:lineRule="auto"/>
        <w:contextualSpacing/>
        <w:jc w:val="both"/>
      </w:pPr>
    </w:p>
    <w:p w:rsidR="005A48E2" w:rsidRPr="00C95F78" w:rsidRDefault="00DB3513" w:rsidP="00BB1A5E">
      <w:pPr>
        <w:spacing w:after="0" w:line="240" w:lineRule="auto"/>
        <w:contextualSpacing/>
        <w:jc w:val="both"/>
      </w:pPr>
      <w:r w:rsidRPr="00C95F78">
        <w:t xml:space="preserve">Taking the above into account, </w:t>
      </w:r>
      <w:r w:rsidR="00B54A5B" w:rsidRPr="00C95F78">
        <w:t>if a high copper solution is to be found</w:t>
      </w:r>
      <w:r w:rsidR="0040112D" w:rsidRPr="00C95F78">
        <w:t>,</w:t>
      </w:r>
      <w:r w:rsidR="00B54A5B" w:rsidRPr="00C95F78">
        <w:t xml:space="preserve"> </w:t>
      </w:r>
      <w:r w:rsidRPr="00C95F78">
        <w:t xml:space="preserve">we would expect the motors serving this market to </w:t>
      </w:r>
      <w:r w:rsidR="000206AB" w:rsidRPr="00C95F78">
        <w:t>have a high fill rate in the stator windings (around 80%), with a design avoiding efficiency losses due to eddy current effects in winding heads. Some auto manufacturers are thought to be looking at AC-induction drive motors for passenger vehicles. Space constraints are probably not sufficient to make this a market for square copper winding wires to be employed.</w:t>
      </w:r>
      <w:r w:rsidR="00B54A5B" w:rsidRPr="00C95F78">
        <w:t xml:space="preserve"> While these are options, however, the lower copper permanent magnet type motor is favoured by the automotive industry.</w:t>
      </w:r>
      <w:r w:rsidR="008864B6" w:rsidRPr="00C95F78">
        <w:t xml:space="preserve"> CMR (die-cast Copper Motor Rotor) designs could find a role, but motor weight </w:t>
      </w:r>
      <w:r w:rsidR="005C792F" w:rsidRPr="00C95F78">
        <w:t xml:space="preserve">and size </w:t>
      </w:r>
      <w:r w:rsidR="008864B6" w:rsidRPr="00C95F78">
        <w:t>is likely to prove to be an issue.</w:t>
      </w:r>
      <w:r w:rsidR="002A7A34" w:rsidRPr="00C95F78">
        <w:t xml:space="preserve"> Any high copper solution will have to compete with permanent magnet motors, the current favoured option of the auto manufacturers.</w:t>
      </w:r>
    </w:p>
    <w:p w:rsidR="005A48E2" w:rsidRPr="00C95F78" w:rsidRDefault="005A48E2" w:rsidP="00BB1A5E">
      <w:pPr>
        <w:spacing w:after="0" w:line="240" w:lineRule="auto"/>
        <w:contextualSpacing/>
        <w:jc w:val="both"/>
      </w:pPr>
    </w:p>
    <w:p w:rsidR="005A48E2" w:rsidRPr="00C95F78" w:rsidRDefault="00B12CC7" w:rsidP="00BB1A5E">
      <w:pPr>
        <w:spacing w:after="0" w:line="240" w:lineRule="auto"/>
        <w:contextualSpacing/>
        <w:jc w:val="both"/>
      </w:pPr>
      <w:r w:rsidRPr="00BC7D22">
        <w:t xml:space="preserve">In total, we forecast that </w:t>
      </w:r>
      <w:r w:rsidR="00BC7D22" w:rsidRPr="00BC7D22">
        <w:t xml:space="preserve">copper use in </w:t>
      </w:r>
      <w:r w:rsidRPr="00BC7D22">
        <w:t xml:space="preserve">electric </w:t>
      </w:r>
      <w:r w:rsidR="00BC7D22" w:rsidRPr="00BC7D22">
        <w:t xml:space="preserve">traction </w:t>
      </w:r>
      <w:r w:rsidRPr="00BC7D22">
        <w:t>motor</w:t>
      </w:r>
      <w:r w:rsidR="00BC7D22" w:rsidRPr="00BC7D22">
        <w:t>s</w:t>
      </w:r>
      <w:r w:rsidRPr="00BC7D22">
        <w:t xml:space="preserve"> in alternative vehicles will increase from 15 kt in 2010 to 343 kt in 2020. The figures for Europe</w:t>
      </w:r>
      <w:r w:rsidR="00BC7D22" w:rsidRPr="00BC7D22">
        <w:t xml:space="preserve"> run from</w:t>
      </w:r>
      <w:r w:rsidRPr="00BC7D22">
        <w:t xml:space="preserve"> virtually zero </w:t>
      </w:r>
      <w:r w:rsidR="00BC7D22" w:rsidRPr="00BC7D22">
        <w:t>to</w:t>
      </w:r>
      <w:r w:rsidRPr="00BC7D22">
        <w:t xml:space="preserve"> 67 kt. The market is dominated by winding wire, although some rod and bar and strip will also be required.</w:t>
      </w:r>
      <w:r w:rsidR="005C792F" w:rsidRPr="00C95F78">
        <w:t xml:space="preserve"> </w:t>
      </w:r>
    </w:p>
    <w:p w:rsidR="005A48E2" w:rsidRPr="00C95F78" w:rsidRDefault="005A48E2" w:rsidP="00BB1A5E">
      <w:pPr>
        <w:spacing w:after="0" w:line="240" w:lineRule="auto"/>
        <w:contextualSpacing/>
        <w:jc w:val="both"/>
      </w:pPr>
    </w:p>
    <w:p w:rsidR="005A48E2" w:rsidRPr="00C95F78" w:rsidRDefault="000206AB"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High Voltage Wire Harness</w:t>
      </w:r>
    </w:p>
    <w:p w:rsidR="005A48E2" w:rsidRPr="00C95F78" w:rsidRDefault="005A48E2" w:rsidP="00BB1A5E">
      <w:pPr>
        <w:spacing w:after="0" w:line="240" w:lineRule="auto"/>
        <w:contextualSpacing/>
        <w:jc w:val="both"/>
      </w:pPr>
    </w:p>
    <w:p w:rsidR="005A48E2" w:rsidRPr="00C95F78" w:rsidRDefault="00BF47B0" w:rsidP="00BB1A5E">
      <w:pPr>
        <w:spacing w:after="0" w:line="240" w:lineRule="auto"/>
        <w:contextualSpacing/>
        <w:jc w:val="both"/>
      </w:pPr>
      <w:r w:rsidRPr="00C95F78">
        <w:t>In addition to the normal 12-volt or 42-volt battery (low-voltage system), a hybrid electric powered automobile is equipped with a high-volta</w:t>
      </w:r>
      <w:r w:rsidR="00C05844" w:rsidRPr="00C95F78">
        <w:t>ge battery (today normally</w:t>
      </w:r>
      <w:r w:rsidRPr="00C95F78">
        <w:t xml:space="preserve"> 200 </w:t>
      </w:r>
      <w:r w:rsidR="00CE1056" w:rsidRPr="00C95F78">
        <w:t xml:space="preserve">volt </w:t>
      </w:r>
      <w:r w:rsidRPr="00C95F78">
        <w:t xml:space="preserve">or higher), which drives its high output electric motor. Depending on the type of vehicle, this voltage is further boosted several times before being supplied to on-board devices. Wiring capable of handling voltage ranges in excess of 300 </w:t>
      </w:r>
      <w:r w:rsidR="00CE1056" w:rsidRPr="00C95F78">
        <w:t xml:space="preserve">volt </w:t>
      </w:r>
      <w:r w:rsidRPr="00C95F78">
        <w:t xml:space="preserve">is now required, with 900 </w:t>
      </w:r>
      <w:r w:rsidR="00CE1056" w:rsidRPr="00C95F78">
        <w:t xml:space="preserve">volt </w:t>
      </w:r>
      <w:r w:rsidRPr="00C95F78">
        <w:t>current carrying capacity in BEV and PHEV vehicles likely in the near future.</w:t>
      </w:r>
      <w:r w:rsidR="0010355A" w:rsidRPr="00C95F78">
        <w:t xml:space="preserve"> The connectors and terminals incorporated within such harnesses are chunky items with as much as 300 AMP rating, normally of pure copper or maybe with a little tin. Some are pressed, some machined.</w:t>
      </w:r>
    </w:p>
    <w:p w:rsidR="005A48E2" w:rsidRPr="00C95F78" w:rsidRDefault="005A48E2" w:rsidP="00BB1A5E">
      <w:pPr>
        <w:spacing w:after="0" w:line="240" w:lineRule="auto"/>
        <w:contextualSpacing/>
        <w:jc w:val="both"/>
      </w:pPr>
    </w:p>
    <w:p w:rsidR="005A48E2" w:rsidRPr="00C95F78" w:rsidRDefault="0010355A" w:rsidP="00BB1A5E">
      <w:pPr>
        <w:spacing w:after="0" w:line="240" w:lineRule="auto"/>
        <w:contextualSpacing/>
        <w:jc w:val="both"/>
      </w:pPr>
      <w:r w:rsidRPr="00C95F78">
        <w:t>To protect the driver and mechanics, the HV harness is entirely separate from the low voltage system in a hybrid vehicle, and as such can be regarded as a separate market. T</w:t>
      </w:r>
      <w:r w:rsidR="00BF47B0" w:rsidRPr="00C95F78">
        <w:t xml:space="preserve">he safety and durability requirements </w:t>
      </w:r>
      <w:r w:rsidRPr="00C95F78">
        <w:t xml:space="preserve">for the high </w:t>
      </w:r>
      <w:r w:rsidR="00BF47B0" w:rsidRPr="00C95F78">
        <w:t>voltage power distribution system are significantly greater than those for the conventional low voltage power distribution system. This is because the high-voltage system operates in a much tougher environment, characterized by high temperature, electromagnetic noise, and vibrations, due to the large electrical current it handles.</w:t>
      </w:r>
    </w:p>
    <w:p w:rsidR="005A48E2" w:rsidRPr="00C95F78" w:rsidRDefault="005A48E2" w:rsidP="00BB1A5E">
      <w:pPr>
        <w:spacing w:after="0" w:line="240" w:lineRule="auto"/>
        <w:contextualSpacing/>
        <w:jc w:val="both"/>
      </w:pPr>
    </w:p>
    <w:p w:rsidR="005A48E2" w:rsidRPr="00C95F78" w:rsidRDefault="0010355A" w:rsidP="00BB1A5E">
      <w:pPr>
        <w:spacing w:after="0" w:line="240" w:lineRule="auto"/>
        <w:contextualSpacing/>
        <w:jc w:val="both"/>
      </w:pPr>
      <w:r w:rsidRPr="00C95F78">
        <w:t>The new configuration will mean a lot of copper, but also an intense pressure to replace copper with aluminium, on both cost and weight grounds. Already, the trend is well in place for the large battery cable. Also, the cable from inverter to the motor is under threat, with some replacement likely in the latter half of the next decade.</w:t>
      </w:r>
    </w:p>
    <w:p w:rsidR="005A48E2" w:rsidRPr="00C95F78" w:rsidRDefault="005A48E2" w:rsidP="00BB1A5E">
      <w:pPr>
        <w:spacing w:after="0" w:line="240" w:lineRule="auto"/>
        <w:contextualSpacing/>
        <w:jc w:val="both"/>
      </w:pPr>
    </w:p>
    <w:p w:rsidR="005A48E2" w:rsidRPr="00C95F78" w:rsidRDefault="00FD3F38" w:rsidP="00BB1A5E">
      <w:pPr>
        <w:pStyle w:val="Caption"/>
        <w:contextualSpacing/>
        <w:jc w:val="center"/>
        <w:rPr>
          <w:sz w:val="28"/>
          <w:szCs w:val="28"/>
        </w:rPr>
      </w:pPr>
      <w:bookmarkStart w:id="61" w:name="_Toc26367168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31</w:t>
      </w:r>
      <w:r w:rsidR="00D50FDC" w:rsidRPr="00C95F78">
        <w:rPr>
          <w:sz w:val="28"/>
          <w:szCs w:val="28"/>
        </w:rPr>
        <w:fldChar w:fldCharType="end"/>
      </w:r>
      <w:r w:rsidRPr="00C95F78">
        <w:rPr>
          <w:sz w:val="28"/>
          <w:szCs w:val="28"/>
        </w:rPr>
        <w:t>: High Voltage Wiring in a PHEV</w:t>
      </w:r>
      <w:r w:rsidR="00A25401" w:rsidRPr="00C95F78">
        <w:rPr>
          <w:rStyle w:val="FootnoteReference"/>
          <w:sz w:val="28"/>
          <w:szCs w:val="28"/>
        </w:rPr>
        <w:footnoteReference w:id="5"/>
      </w:r>
      <w:bookmarkEnd w:id="61"/>
    </w:p>
    <w:p w:rsidR="005A48E2" w:rsidRPr="00C95F78" w:rsidRDefault="009961F2" w:rsidP="00BB1A5E">
      <w:pPr>
        <w:spacing w:after="0" w:line="240" w:lineRule="auto"/>
        <w:contextualSpacing/>
        <w:jc w:val="both"/>
      </w:pPr>
      <w:r>
        <w:rPr>
          <w:noProof/>
          <w:lang w:val="en-US"/>
        </w:rPr>
        <w:drawing>
          <wp:inline distT="0" distB="0" distL="0" distR="0">
            <wp:extent cx="5552191" cy="3776667"/>
            <wp:effectExtent l="19050" t="0" r="0" b="0"/>
            <wp:docPr id="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5552191" cy="377666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10355A" w:rsidP="00BB1A5E">
      <w:pPr>
        <w:spacing w:after="0" w:line="240" w:lineRule="auto"/>
        <w:contextualSpacing/>
        <w:jc w:val="both"/>
      </w:pPr>
      <w:r w:rsidRPr="00C95F78">
        <w:t xml:space="preserve">We estimate the copper weight of the HV harness to range between 4.5 kg and 6.0 kg. In total, we forecast that the HV wire harness market in alternative vehicles will increase from 5 kt </w:t>
      </w:r>
      <w:r w:rsidR="005C792F" w:rsidRPr="00C95F78">
        <w:t xml:space="preserve">of copper </w:t>
      </w:r>
      <w:r w:rsidRPr="00C95F78">
        <w:t>in 2010 to 92 kt in 2020. The figures for Europe are virtually zero and 17 kt</w:t>
      </w:r>
      <w:r w:rsidR="005C792F" w:rsidRPr="00C95F78">
        <w:t xml:space="preserve"> of copper</w:t>
      </w:r>
      <w:r w:rsidRPr="00C95F78">
        <w:t>.</w:t>
      </w:r>
      <w:r w:rsidR="009E6024" w:rsidRPr="00C95F78">
        <w:t xml:space="preserve"> The main product group is insulated wire, although strip and other products used in connectors is also important.</w:t>
      </w:r>
    </w:p>
    <w:p w:rsidR="005A48E2" w:rsidRPr="00C95F78" w:rsidRDefault="005A48E2" w:rsidP="00BB1A5E">
      <w:pPr>
        <w:spacing w:after="0" w:line="240" w:lineRule="auto"/>
        <w:contextualSpacing/>
        <w:jc w:val="both"/>
      </w:pPr>
    </w:p>
    <w:p w:rsidR="005A48E2" w:rsidRPr="00C95F78" w:rsidRDefault="009E6024"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Batteries</w:t>
      </w:r>
    </w:p>
    <w:p w:rsidR="005A48E2" w:rsidRPr="00C95F78" w:rsidRDefault="005A48E2" w:rsidP="00BB1A5E">
      <w:pPr>
        <w:spacing w:after="0" w:line="240" w:lineRule="auto"/>
        <w:contextualSpacing/>
        <w:jc w:val="both"/>
      </w:pPr>
    </w:p>
    <w:p w:rsidR="005A48E2" w:rsidRPr="00C95F78" w:rsidRDefault="00C05844" w:rsidP="00BB1A5E">
      <w:pPr>
        <w:spacing w:after="0" w:line="240" w:lineRule="auto"/>
        <w:contextualSpacing/>
        <w:jc w:val="both"/>
      </w:pPr>
      <w:r w:rsidRPr="00C95F78">
        <w:t>Battery technology has been a limiting factor in the progress of hybrid and electric vehicles to date, both on capacity and cost grounds. The technology of energy storage is developing rapidly, with the lithium-ion battery coming out as a clear winner for a wide range of applications, including electric vehicles. While not a particularly copper intensive battery solution, there is copper in this market.</w:t>
      </w:r>
      <w:r w:rsidR="00B54A5B" w:rsidRPr="00C95F78">
        <w:t xml:space="preserve"> An analysis of batteries in the automotive sector in the wider context of energy storage is provided in Section 6 “Cross Market Technologies”.</w:t>
      </w:r>
    </w:p>
    <w:p w:rsidR="005A48E2" w:rsidRPr="00C95F78" w:rsidRDefault="005A48E2" w:rsidP="00BB1A5E">
      <w:pPr>
        <w:spacing w:after="0" w:line="240" w:lineRule="auto"/>
        <w:contextualSpacing/>
        <w:jc w:val="both"/>
      </w:pPr>
    </w:p>
    <w:p w:rsidR="005A48E2" w:rsidRPr="00C95F78" w:rsidRDefault="00C05844" w:rsidP="00BB1A5E">
      <w:pPr>
        <w:autoSpaceDE w:val="0"/>
        <w:autoSpaceDN w:val="0"/>
        <w:adjustRightInd w:val="0"/>
        <w:spacing w:after="0" w:line="240" w:lineRule="auto"/>
        <w:contextualSpacing/>
        <w:jc w:val="both"/>
        <w:rPr>
          <w:szCs w:val="20"/>
        </w:rPr>
      </w:pPr>
      <w:r w:rsidRPr="00C95F78">
        <w:rPr>
          <w:szCs w:val="20"/>
        </w:rPr>
        <w:t xml:space="preserve">The key requirements for hybrid batteries </w:t>
      </w:r>
      <w:r w:rsidR="00991FF5" w:rsidRPr="00C95F78">
        <w:rPr>
          <w:szCs w:val="20"/>
        </w:rPr>
        <w:t xml:space="preserve">today are a voltage range from 200 to 300 </w:t>
      </w:r>
      <w:r w:rsidR="00CE1056" w:rsidRPr="00C95F78">
        <w:rPr>
          <w:szCs w:val="20"/>
        </w:rPr>
        <w:t>volts</w:t>
      </w:r>
      <w:r w:rsidR="00991FF5" w:rsidRPr="00C95F78">
        <w:rPr>
          <w:szCs w:val="20"/>
        </w:rPr>
        <w:t>,</w:t>
      </w:r>
      <w:r w:rsidRPr="00C95F78">
        <w:rPr>
          <w:szCs w:val="20"/>
        </w:rPr>
        <w:t xml:space="preserve"> the ability to absorb </w:t>
      </w:r>
      <w:r w:rsidR="00991FF5" w:rsidRPr="00C95F78">
        <w:rPr>
          <w:szCs w:val="20"/>
        </w:rPr>
        <w:t>high</w:t>
      </w:r>
      <w:r w:rsidRPr="00C95F78">
        <w:rPr>
          <w:szCs w:val="20"/>
        </w:rPr>
        <w:t xml:space="preserve"> quantities of electri</w:t>
      </w:r>
      <w:r w:rsidR="00991FF5" w:rsidRPr="00C95F78">
        <w:rPr>
          <w:szCs w:val="20"/>
        </w:rPr>
        <w:t>city in short periods, low weight,</w:t>
      </w:r>
      <w:r w:rsidRPr="00C95F78">
        <w:rPr>
          <w:szCs w:val="20"/>
        </w:rPr>
        <w:t xml:space="preserve"> durability</w:t>
      </w:r>
      <w:r w:rsidR="00991FF5" w:rsidRPr="00C95F78">
        <w:rPr>
          <w:szCs w:val="20"/>
        </w:rPr>
        <w:t>,</w:t>
      </w:r>
      <w:r w:rsidRPr="00C95F78">
        <w:rPr>
          <w:szCs w:val="20"/>
        </w:rPr>
        <w:t xml:space="preserve"> energetic efficiency</w:t>
      </w:r>
      <w:r w:rsidR="00991FF5" w:rsidRPr="00C95F78">
        <w:rPr>
          <w:szCs w:val="20"/>
        </w:rPr>
        <w:t xml:space="preserve"> and cost</w:t>
      </w:r>
      <w:r w:rsidRPr="00C95F78">
        <w:rPr>
          <w:szCs w:val="20"/>
        </w:rPr>
        <w:t xml:space="preserve">. </w:t>
      </w:r>
      <w:r w:rsidR="00991FF5" w:rsidRPr="00C95F78">
        <w:rPr>
          <w:szCs w:val="20"/>
        </w:rPr>
        <w:t>To some extent the requirements are negatively correlated, leading to the need to compromise. For example, high capacity requirements are associated with increased size, weight and cost.</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C05844" w:rsidP="00BB1A5E">
      <w:pPr>
        <w:autoSpaceDE w:val="0"/>
        <w:autoSpaceDN w:val="0"/>
        <w:adjustRightInd w:val="0"/>
        <w:spacing w:after="0" w:line="240" w:lineRule="auto"/>
        <w:contextualSpacing/>
        <w:jc w:val="both"/>
        <w:rPr>
          <w:szCs w:val="20"/>
        </w:rPr>
      </w:pPr>
      <w:r w:rsidRPr="00C95F78">
        <w:rPr>
          <w:szCs w:val="20"/>
        </w:rPr>
        <w:t xml:space="preserve">There are technical approaches for every one of the criterions; however maximising all of them at the same time is not feasible due to a negative correlation of some of the objectives. This makes it necessary to increase the battery size and hence its weight accordingly or to accept a shorter operating distance. </w:t>
      </w:r>
      <w:r w:rsidR="00991FF5" w:rsidRPr="00C95F78">
        <w:rPr>
          <w:szCs w:val="20"/>
        </w:rPr>
        <w:t>Fast charging is associated with heat generation and loss of efficiency.</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991FF5" w:rsidP="00BB1A5E">
      <w:pPr>
        <w:autoSpaceDE w:val="0"/>
        <w:autoSpaceDN w:val="0"/>
        <w:adjustRightInd w:val="0"/>
        <w:spacing w:after="0" w:line="240" w:lineRule="auto"/>
        <w:contextualSpacing/>
        <w:jc w:val="both"/>
        <w:rPr>
          <w:szCs w:val="20"/>
        </w:rPr>
      </w:pPr>
      <w:r w:rsidRPr="00C95F78">
        <w:rPr>
          <w:szCs w:val="20"/>
        </w:rPr>
        <w:t>To some degree, these contradictions are being overcome through technology development. Energy density to weight ratios for lithium-ion batteries are being improved substantially, thus extending the range of vehicles operating in charge depletion mode.</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E746D3" w:rsidP="00BB1A5E">
      <w:pPr>
        <w:autoSpaceDE w:val="0"/>
        <w:autoSpaceDN w:val="0"/>
        <w:adjustRightInd w:val="0"/>
        <w:spacing w:after="0" w:line="240" w:lineRule="auto"/>
        <w:contextualSpacing/>
        <w:jc w:val="both"/>
        <w:rPr>
          <w:szCs w:val="20"/>
        </w:rPr>
      </w:pPr>
      <w:r w:rsidRPr="00C95F78">
        <w:rPr>
          <w:szCs w:val="20"/>
        </w:rPr>
        <w:t>The cost of batteries is also on the way down, but is still very high. The current industry-wide average production cost of lithium-ion batteries is US$600 per kWh, with a number of individual companies achieving lower costs. For a pure electric vehicle with a 30 kWh battery, therefore, today’s battery costs equate to U</w:t>
      </w:r>
      <w:r w:rsidR="005C792F" w:rsidRPr="00C95F78">
        <w:rPr>
          <w:szCs w:val="20"/>
        </w:rPr>
        <w:t>S</w:t>
      </w:r>
      <w:r w:rsidRPr="00C95F78">
        <w:rPr>
          <w:szCs w:val="20"/>
        </w:rPr>
        <w:t>$18,000. For a PHEV with a 16 kWh battery, the incremental battery cost is U</w:t>
      </w:r>
      <w:r w:rsidR="005C792F" w:rsidRPr="00C95F78">
        <w:rPr>
          <w:szCs w:val="20"/>
        </w:rPr>
        <w:t>S</w:t>
      </w:r>
      <w:r w:rsidRPr="00C95F78">
        <w:rPr>
          <w:szCs w:val="20"/>
        </w:rPr>
        <w:t xml:space="preserve">$9,600. </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E746D3" w:rsidP="00BB1A5E">
      <w:pPr>
        <w:autoSpaceDE w:val="0"/>
        <w:autoSpaceDN w:val="0"/>
        <w:adjustRightInd w:val="0"/>
        <w:spacing w:after="0" w:line="240" w:lineRule="auto"/>
        <w:contextualSpacing/>
        <w:jc w:val="both"/>
        <w:rPr>
          <w:szCs w:val="20"/>
        </w:rPr>
      </w:pPr>
      <w:r w:rsidRPr="00C95F78">
        <w:rPr>
          <w:szCs w:val="20"/>
        </w:rPr>
        <w:t>Such high costs mean that without financial incentives, the additional capital cost of hybrids and BEVs is substantially above the energy cost saving that could be achieved over the lifetime of a vehicle. Reducing battery prices and increased energy cost saving over the next decade should ensure a cross over where the alternative vehicles become truly economic to the consumer in the latter part of the next decade.</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E746D3" w:rsidP="00BB1A5E">
      <w:pPr>
        <w:autoSpaceDE w:val="0"/>
        <w:autoSpaceDN w:val="0"/>
        <w:adjustRightInd w:val="0"/>
        <w:spacing w:after="0" w:line="240" w:lineRule="auto"/>
        <w:contextualSpacing/>
        <w:jc w:val="both"/>
        <w:rPr>
          <w:szCs w:val="20"/>
        </w:rPr>
      </w:pPr>
      <w:r w:rsidRPr="00C95F78">
        <w:rPr>
          <w:szCs w:val="20"/>
        </w:rPr>
        <w:t xml:space="preserve">Most of the present fleet of HEVs is fitted with </w:t>
      </w:r>
      <w:r w:rsidR="00C05844" w:rsidRPr="00C95F78">
        <w:rPr>
          <w:szCs w:val="20"/>
        </w:rPr>
        <w:t xml:space="preserve">Ni-MH batteries. </w:t>
      </w:r>
      <w:r w:rsidRPr="00C95F78">
        <w:rPr>
          <w:szCs w:val="20"/>
        </w:rPr>
        <w:t>In 2009,</w:t>
      </w:r>
      <w:r w:rsidR="00C05844" w:rsidRPr="00C95F78">
        <w:rPr>
          <w:szCs w:val="20"/>
        </w:rPr>
        <w:t xml:space="preserve"> Toyota has substituted the Ni-MH battery with Li-Ion in the new plug-in Prius for on-road trials. </w:t>
      </w:r>
      <w:r w:rsidRPr="00C95F78">
        <w:rPr>
          <w:szCs w:val="20"/>
        </w:rPr>
        <w:t xml:space="preserve">Other manufacturers are already focussing on </w:t>
      </w:r>
      <w:r w:rsidR="005C792F" w:rsidRPr="00C95F78">
        <w:rPr>
          <w:szCs w:val="20"/>
        </w:rPr>
        <w:t>l</w:t>
      </w:r>
      <w:r w:rsidRPr="00C95F78">
        <w:rPr>
          <w:szCs w:val="20"/>
        </w:rPr>
        <w:t>i-ion technology, and the Ni-MH alternative is expected to be phased out quite quickly.</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C05844" w:rsidP="00BB1A5E">
      <w:pPr>
        <w:autoSpaceDE w:val="0"/>
        <w:autoSpaceDN w:val="0"/>
        <w:adjustRightInd w:val="0"/>
        <w:spacing w:after="0" w:line="240" w:lineRule="auto"/>
        <w:contextualSpacing/>
        <w:jc w:val="both"/>
        <w:rPr>
          <w:szCs w:val="20"/>
        </w:rPr>
      </w:pPr>
      <w:r w:rsidRPr="00C95F78">
        <w:rPr>
          <w:szCs w:val="20"/>
        </w:rPr>
        <w:t xml:space="preserve">This represents a significant step for bringing lithium-ion on the road to mass deployment. Manufacturers around the world have invested in developing different type of battery technologies in order to overcome the existing problems of capacity, storage and price. </w:t>
      </w:r>
      <w:r w:rsidR="00B626AE" w:rsidRPr="00C95F78">
        <w:rPr>
          <w:szCs w:val="20"/>
        </w:rPr>
        <w:t>Lithium-ion batteries are attractive because they deliver superior performance in both power and energy density, allowing them to achieve a much higher weight to performance ratio than either of their predecessors</w:t>
      </w:r>
      <w:r w:rsidR="00B626AE" w:rsidRPr="00C95F78">
        <w:rPr>
          <w:rFonts w:cs="ChronicleTextG1-Roman"/>
          <w:color w:val="4D4D4F"/>
          <w:sz w:val="21"/>
          <w:szCs w:val="21"/>
        </w:rPr>
        <w:t xml:space="preserve">. </w:t>
      </w:r>
      <w:r w:rsidR="00B626AE" w:rsidRPr="00C95F78">
        <w:rPr>
          <w:szCs w:val="20"/>
        </w:rPr>
        <w:t>Lithium-ion battery chemistries can achieve theoretical energy densities up to 175 WH/kg and power densities up to 9,000 W</w:t>
      </w:r>
      <w:r w:rsidR="004F72DA" w:rsidRPr="00C95F78">
        <w:rPr>
          <w:szCs w:val="20"/>
        </w:rPr>
        <w:t>H</w:t>
      </w:r>
      <w:r w:rsidR="00B626AE" w:rsidRPr="00C95F78">
        <w:rPr>
          <w:szCs w:val="20"/>
        </w:rPr>
        <w:t>/kg.</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0027DA" w:rsidP="00BB1A5E">
      <w:pPr>
        <w:pStyle w:val="Caption"/>
        <w:contextualSpacing/>
        <w:jc w:val="center"/>
        <w:rPr>
          <w:sz w:val="28"/>
          <w:szCs w:val="28"/>
        </w:rPr>
      </w:pPr>
      <w:bookmarkStart w:id="62" w:name="_Toc26367168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32</w:t>
      </w:r>
      <w:r w:rsidR="00D50FDC" w:rsidRPr="00C95F78">
        <w:rPr>
          <w:sz w:val="28"/>
          <w:szCs w:val="28"/>
        </w:rPr>
        <w:fldChar w:fldCharType="end"/>
      </w:r>
      <w:r w:rsidR="004119A5" w:rsidRPr="00C95F78">
        <w:rPr>
          <w:sz w:val="28"/>
          <w:szCs w:val="28"/>
        </w:rPr>
        <w:t>:</w:t>
      </w:r>
      <w:r w:rsidR="005C792F" w:rsidRPr="00C95F78">
        <w:rPr>
          <w:sz w:val="28"/>
          <w:szCs w:val="28"/>
        </w:rPr>
        <w:t xml:space="preserve"> </w:t>
      </w:r>
      <w:r w:rsidR="004119A5" w:rsidRPr="00C95F78">
        <w:rPr>
          <w:sz w:val="28"/>
          <w:szCs w:val="28"/>
        </w:rPr>
        <w:t>Materials Content of Li Batteries</w:t>
      </w:r>
      <w:r w:rsidR="004119A5" w:rsidRPr="00C95F78">
        <w:rPr>
          <w:rStyle w:val="FootnoteReference"/>
          <w:sz w:val="28"/>
          <w:szCs w:val="28"/>
        </w:rPr>
        <w:footnoteReference w:id="6"/>
      </w:r>
      <w:bookmarkEnd w:id="62"/>
    </w:p>
    <w:p w:rsidR="005A48E2" w:rsidRPr="00C95F78" w:rsidRDefault="000027DA" w:rsidP="00BB1A5E">
      <w:pPr>
        <w:autoSpaceDE w:val="0"/>
        <w:autoSpaceDN w:val="0"/>
        <w:adjustRightInd w:val="0"/>
        <w:spacing w:after="0" w:line="240" w:lineRule="auto"/>
        <w:contextualSpacing/>
        <w:jc w:val="both"/>
        <w:rPr>
          <w:szCs w:val="20"/>
        </w:rPr>
      </w:pPr>
      <w:r w:rsidRPr="00C95F78">
        <w:rPr>
          <w:noProof/>
          <w:szCs w:val="20"/>
          <w:lang w:val="en-US"/>
        </w:rPr>
        <w:drawing>
          <wp:inline distT="0" distB="0" distL="0" distR="0">
            <wp:extent cx="5549900" cy="2062480"/>
            <wp:effectExtent l="19050" t="0" r="0" b="0"/>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549900" cy="2062480"/>
                    </a:xfrm>
                    <a:prstGeom prst="rect">
                      <a:avLst/>
                    </a:prstGeom>
                    <a:noFill/>
                    <a:ln w="9525">
                      <a:noFill/>
                      <a:miter lim="800000"/>
                      <a:headEnd/>
                      <a:tailEnd/>
                    </a:ln>
                  </pic:spPr>
                </pic:pic>
              </a:graphicData>
            </a:graphic>
          </wp:inline>
        </w:drawing>
      </w:r>
    </w:p>
    <w:p w:rsidR="005A48E2" w:rsidRPr="00C95F78" w:rsidRDefault="00781689" w:rsidP="00BB1A5E">
      <w:pPr>
        <w:autoSpaceDE w:val="0"/>
        <w:autoSpaceDN w:val="0"/>
        <w:adjustRightInd w:val="0"/>
        <w:spacing w:after="0" w:line="240" w:lineRule="auto"/>
        <w:contextualSpacing/>
        <w:jc w:val="both"/>
        <w:rPr>
          <w:szCs w:val="20"/>
        </w:rPr>
      </w:pPr>
      <w:r w:rsidRPr="00C95F78">
        <w:rPr>
          <w:szCs w:val="20"/>
        </w:rPr>
        <w:t>A primary use of copper in li-ion batteries is to coat the graphite anode. The anode is typically coated with aluminium. For this, copper foil of 14 μm thickness (uncoated) is generally used, although coated materials of up to 200 μm thickness can be employed, depending on the cell design (cylindrical or planar. Most copper foil is electrodeposited, Furukawa Electric being a dominant supplier. For smaller li-ion batteries, however, Hitachi Cable has announced a newly developed rolled foil product, said to enhance battery life. This product is an adaptation of Hitachi Cable’s HCL02Z alloy, containing zirconium at 0.02%.</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4119A5" w:rsidP="00BB1A5E">
      <w:pPr>
        <w:autoSpaceDE w:val="0"/>
        <w:autoSpaceDN w:val="0"/>
        <w:adjustRightInd w:val="0"/>
        <w:spacing w:after="0" w:line="240" w:lineRule="auto"/>
        <w:contextualSpacing/>
        <w:jc w:val="both"/>
        <w:rPr>
          <w:szCs w:val="20"/>
        </w:rPr>
      </w:pPr>
      <w:r w:rsidRPr="00C95F78">
        <w:rPr>
          <w:szCs w:val="20"/>
        </w:rPr>
        <w:t>In volume terms, more important are the current carrying elements within the battery and external buss bars that must be joined to the outside terminals to connect a series of cells. A combination of copper and aluminium is used for this purpose.</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4119A5" w:rsidP="00BB1A5E">
      <w:pPr>
        <w:autoSpaceDE w:val="0"/>
        <w:autoSpaceDN w:val="0"/>
        <w:adjustRightInd w:val="0"/>
        <w:spacing w:after="0" w:line="240" w:lineRule="auto"/>
        <w:contextualSpacing/>
        <w:jc w:val="both"/>
        <w:rPr>
          <w:szCs w:val="20"/>
        </w:rPr>
      </w:pPr>
      <w:r w:rsidRPr="00C95F78">
        <w:rPr>
          <w:szCs w:val="20"/>
        </w:rPr>
        <w:t xml:space="preserve">The amount of copper contained in li-ion batteries is open to question, and appears to be variable. One estimate has copper constituting 17-20% of lithium-ion weight. Our, more modest, estimate puts the copper in HV automotive battery market at around 1 kt in 2010 rising to 21 kt in 2010. The European market is forecast to rise from virtually zero to 4.1 kt </w:t>
      </w:r>
      <w:r w:rsidR="003E4C96" w:rsidRPr="00C95F78">
        <w:rPr>
          <w:szCs w:val="20"/>
        </w:rPr>
        <w:t xml:space="preserve">of copper </w:t>
      </w:r>
      <w:r w:rsidRPr="00C95F78">
        <w:rPr>
          <w:szCs w:val="20"/>
        </w:rPr>
        <w:t>in 2020. Around 40% of this market is expected to be copper foil, the remainder being other mill products.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781689"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C</w:t>
      </w:r>
      <w:r w:rsidR="00AD73D3" w:rsidRPr="00C95F78">
        <w:rPr>
          <w:b/>
          <w:color w:val="365F91" w:themeColor="accent1" w:themeShade="BF"/>
          <w:sz w:val="24"/>
          <w:szCs w:val="24"/>
        </w:rPr>
        <w:t>harging Infrast</w:t>
      </w:r>
      <w:r w:rsidRPr="00C95F78">
        <w:rPr>
          <w:b/>
          <w:color w:val="365F91" w:themeColor="accent1" w:themeShade="BF"/>
          <w:sz w:val="24"/>
          <w:szCs w:val="24"/>
        </w:rPr>
        <w:t>ru</w:t>
      </w:r>
      <w:r w:rsidR="00AD73D3" w:rsidRPr="00C95F78">
        <w:rPr>
          <w:b/>
          <w:color w:val="365F91" w:themeColor="accent1" w:themeShade="BF"/>
          <w:sz w:val="24"/>
          <w:szCs w:val="24"/>
        </w:rPr>
        <w:t>cture</w:t>
      </w:r>
    </w:p>
    <w:p w:rsidR="005A48E2" w:rsidRPr="00C95F78" w:rsidRDefault="005A48E2" w:rsidP="00BB1A5E">
      <w:pPr>
        <w:spacing w:after="0" w:line="240" w:lineRule="auto"/>
        <w:contextualSpacing/>
        <w:jc w:val="both"/>
      </w:pPr>
    </w:p>
    <w:p w:rsidR="005A48E2" w:rsidRPr="00C95F78" w:rsidRDefault="00781689" w:rsidP="00BB1A5E">
      <w:pPr>
        <w:spacing w:after="0" w:line="240" w:lineRule="auto"/>
        <w:contextualSpacing/>
        <w:jc w:val="both"/>
      </w:pPr>
      <w:r w:rsidRPr="00C95F78">
        <w:t>Alongside PHEVs and BEVs there will be a requirement for an electricity charging infrastructure. Some charging will be in the home, but there will also be a need for an infrastructure outside the home, especially for BEVs that have no alternative means of propulsion. For the apartment-dwelling section of the alternative vehicle community, street charging will be a necessity from the outset.</w:t>
      </w:r>
    </w:p>
    <w:p w:rsidR="005A48E2" w:rsidRPr="00C95F78" w:rsidRDefault="005A48E2" w:rsidP="00BB1A5E">
      <w:pPr>
        <w:spacing w:after="0" w:line="240" w:lineRule="auto"/>
        <w:contextualSpacing/>
        <w:jc w:val="both"/>
      </w:pPr>
    </w:p>
    <w:p w:rsidR="005A48E2" w:rsidRPr="00C95F78" w:rsidRDefault="00781689" w:rsidP="00BB1A5E">
      <w:pPr>
        <w:spacing w:after="0" w:line="240" w:lineRule="auto"/>
        <w:contextualSpacing/>
        <w:jc w:val="both"/>
      </w:pPr>
      <w:r w:rsidRPr="00C95F78">
        <w:t xml:space="preserve">The number of charging points in relation to the number of PHEVs and BEVs will be large, especially in the early stages of development. </w:t>
      </w:r>
      <w:r w:rsidR="0084507B" w:rsidRPr="00C95F78">
        <w:t>Assuming the vehicle owner has an access point in his dwelling, there will be one charging point for each vehicle captive to that owner. It is estimated that, in the early stages there could be as many as 2.5 public charging points per vehicle, falling ultimately to 0.5 points or less. However one looks at it, this will require a massive investment, and a considerable amount of copper.</w:t>
      </w:r>
    </w:p>
    <w:p w:rsidR="005A48E2" w:rsidRPr="00C95F78" w:rsidRDefault="005A48E2" w:rsidP="00BB1A5E">
      <w:pPr>
        <w:spacing w:after="0" w:line="240" w:lineRule="auto"/>
        <w:contextualSpacing/>
        <w:jc w:val="both"/>
      </w:pPr>
    </w:p>
    <w:p w:rsidR="005A48E2" w:rsidRPr="00C95F78" w:rsidRDefault="00781689" w:rsidP="00BB1A5E">
      <w:pPr>
        <w:pStyle w:val="Caption"/>
        <w:contextualSpacing/>
        <w:jc w:val="center"/>
        <w:rPr>
          <w:sz w:val="28"/>
          <w:szCs w:val="28"/>
        </w:rPr>
      </w:pPr>
      <w:bookmarkStart w:id="63" w:name="_Toc26367168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33</w:t>
      </w:r>
      <w:r w:rsidR="00D50FDC" w:rsidRPr="00C95F78">
        <w:rPr>
          <w:sz w:val="28"/>
          <w:szCs w:val="28"/>
        </w:rPr>
        <w:fldChar w:fldCharType="end"/>
      </w:r>
      <w:r w:rsidRPr="00C95F78">
        <w:rPr>
          <w:sz w:val="28"/>
          <w:szCs w:val="28"/>
        </w:rPr>
        <w:t>:</w:t>
      </w:r>
      <w:r w:rsidR="0084507B" w:rsidRPr="00C95F78">
        <w:rPr>
          <w:sz w:val="28"/>
          <w:szCs w:val="28"/>
        </w:rPr>
        <w:t xml:space="preserve"> </w:t>
      </w:r>
      <w:r w:rsidRPr="00C95F78">
        <w:rPr>
          <w:sz w:val="28"/>
          <w:szCs w:val="28"/>
        </w:rPr>
        <w:t>Home Charging Infrastructure</w:t>
      </w:r>
      <w:r w:rsidRPr="00C95F78">
        <w:rPr>
          <w:rStyle w:val="FootnoteReference"/>
          <w:sz w:val="28"/>
          <w:szCs w:val="28"/>
        </w:rPr>
        <w:footnoteReference w:id="7"/>
      </w:r>
      <w:bookmarkEnd w:id="63"/>
    </w:p>
    <w:p w:rsidR="005A48E2" w:rsidRPr="00C95F78" w:rsidRDefault="00781689" w:rsidP="00BB1A5E">
      <w:pPr>
        <w:spacing w:after="0" w:line="240" w:lineRule="auto"/>
        <w:ind w:left="1247"/>
        <w:contextualSpacing/>
        <w:jc w:val="both"/>
      </w:pPr>
      <w:r w:rsidRPr="00C95F78">
        <w:rPr>
          <w:noProof/>
          <w:lang w:val="en-US"/>
        </w:rPr>
        <w:drawing>
          <wp:inline distT="0" distB="0" distL="0" distR="0">
            <wp:extent cx="3880000" cy="2800001"/>
            <wp:effectExtent l="19050" t="0" r="6200" b="0"/>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3880000" cy="2800001"/>
                    </a:xfrm>
                    <a:prstGeom prst="rect">
                      <a:avLst/>
                    </a:prstGeom>
                    <a:noFill/>
                    <a:ln w="9525">
                      <a:noFill/>
                      <a:miter lim="800000"/>
                      <a:headEnd/>
                      <a:tailEnd/>
                    </a:ln>
                  </pic:spPr>
                </pic:pic>
              </a:graphicData>
            </a:graphic>
          </wp:inline>
        </w:drawing>
      </w:r>
    </w:p>
    <w:p w:rsidR="005A48E2" w:rsidRPr="00C95F78" w:rsidRDefault="0084507B" w:rsidP="00BB1A5E">
      <w:pPr>
        <w:spacing w:after="0" w:line="240" w:lineRule="auto"/>
        <w:contextualSpacing/>
        <w:jc w:val="both"/>
      </w:pPr>
      <w:r w:rsidRPr="00C95F78">
        <w:t>The home charging point run</w:t>
      </w:r>
      <w:r w:rsidR="000370B0" w:rsidRPr="00C95F78">
        <w:t>s is connected to</w:t>
      </w:r>
      <w:r w:rsidRPr="00C95F78">
        <w:t xml:space="preserve"> a circuit breaker to the charging unit itself, from which a flexible</w:t>
      </w:r>
      <w:r w:rsidR="000370B0" w:rsidRPr="00C95F78">
        <w:t xml:space="preserve"> cord and c</w:t>
      </w:r>
      <w:r w:rsidR="00EC3AED" w:rsidRPr="00C95F78">
        <w:t>onnector leads to the vehicle. T</w:t>
      </w:r>
      <w:r w:rsidR="000370B0" w:rsidRPr="00C95F78">
        <w:t xml:space="preserve">he sophistication of the charging unit should increase over time to accommodate smart metering and variable electricity tariff arrangements, and ultimately electricity resale. </w:t>
      </w:r>
    </w:p>
    <w:p w:rsidR="005A48E2" w:rsidRPr="00C95F78" w:rsidRDefault="005A48E2" w:rsidP="00BB1A5E">
      <w:pPr>
        <w:spacing w:after="0" w:line="240" w:lineRule="auto"/>
        <w:contextualSpacing/>
        <w:jc w:val="both"/>
      </w:pPr>
    </w:p>
    <w:p w:rsidR="005A48E2" w:rsidRPr="00C95F78" w:rsidRDefault="000370B0" w:rsidP="00BB1A5E">
      <w:pPr>
        <w:spacing w:after="0" w:line="240" w:lineRule="auto"/>
        <w:contextualSpacing/>
        <w:jc w:val="both"/>
      </w:pPr>
      <w:r w:rsidRPr="00C95F78">
        <w:t xml:space="preserve">The cost and size of the unit will also depend on the rate of charging required. Without any enhancement, it may take 15 hours to charge a PHEV battery, based on the United States 100 volt infrastructure. Upgrading this to a 220 volt 15 AMP connection would reduce the charging time for a 24 kWh battery to 8 hours; a 30 AMP connection would halve this. </w:t>
      </w:r>
      <w:r w:rsidR="00B12CC7" w:rsidRPr="00BC7D22">
        <w:t>The cost of such enhanced co</w:t>
      </w:r>
      <w:r w:rsidR="00BC7D22" w:rsidRPr="00BC7D22">
        <w:t>nnections is around US$500-1,00</w:t>
      </w:r>
      <w:r w:rsidR="00BC7D22">
        <w:t>0 currently.</w:t>
      </w:r>
    </w:p>
    <w:p w:rsidR="005A48E2" w:rsidRPr="00C95F78" w:rsidRDefault="005A48E2" w:rsidP="00BB1A5E">
      <w:pPr>
        <w:spacing w:after="0" w:line="240" w:lineRule="auto"/>
        <w:contextualSpacing/>
        <w:jc w:val="both"/>
      </w:pPr>
    </w:p>
    <w:p w:rsidR="005A48E2" w:rsidRPr="00C95F78" w:rsidRDefault="000370B0" w:rsidP="00BB1A5E">
      <w:pPr>
        <w:spacing w:after="0" w:line="240" w:lineRule="auto"/>
        <w:contextualSpacing/>
        <w:jc w:val="both"/>
      </w:pPr>
      <w:r w:rsidRPr="00C95F78">
        <w:t>The public infrastructure will contain many similar level connections. Such units are likely to be provided in many cases in banks of chargers, with a cable running back to the final distribution transformer.</w:t>
      </w:r>
      <w:r w:rsidR="00EC3AED" w:rsidRPr="00C95F78">
        <w:t xml:space="preserve"> While such charging points may make sense at places of work, where the car owners will stay for hours, however, there is also a need for very fast charging, with 30-250 kWh capacity. This may allow, for example, a car to be charged while the occupant was shopping.</w:t>
      </w:r>
    </w:p>
    <w:p w:rsidR="005A48E2" w:rsidRPr="00C95F78" w:rsidRDefault="005A48E2" w:rsidP="00BB1A5E">
      <w:pPr>
        <w:spacing w:after="0" w:line="240" w:lineRule="auto"/>
        <w:contextualSpacing/>
        <w:jc w:val="both"/>
      </w:pPr>
    </w:p>
    <w:p w:rsidR="005A48E2" w:rsidRPr="00C95F78" w:rsidRDefault="00EC3AED" w:rsidP="00BB1A5E">
      <w:pPr>
        <w:spacing w:after="0" w:line="240" w:lineRule="auto"/>
        <w:contextualSpacing/>
        <w:jc w:val="both"/>
      </w:pPr>
      <w:r w:rsidRPr="00C95F78">
        <w:t xml:space="preserve">Taking the above into account, we foresee the average consumption of copper in charging infrastructure per PHEV or BEV starting at around 7 kg in 2010, falling to around 1 kg by 2020. </w:t>
      </w:r>
      <w:r w:rsidR="00B74092" w:rsidRPr="00C95F78">
        <w:t>This implies a global market rising from virtually zero in 2010 to 10.6 kt</w:t>
      </w:r>
      <w:r w:rsidR="003E4C96" w:rsidRPr="00C95F78">
        <w:t xml:space="preserve"> of copper</w:t>
      </w:r>
      <w:r w:rsidR="00B74092" w:rsidRPr="00C95F78">
        <w:t xml:space="preserve"> in 2020. The European market, with higher electric vehicle sales than output, is forecast to rise to 4.1 kt</w:t>
      </w:r>
      <w:r w:rsidR="003E4C96" w:rsidRPr="00C95F78">
        <w:t xml:space="preserve"> of copper</w:t>
      </w:r>
      <w:r w:rsidR="00B74092" w:rsidRPr="00C95F78">
        <w:t>. The main product will be energy cable, with winding wire also being important.</w:t>
      </w:r>
    </w:p>
    <w:p w:rsidR="005A48E2" w:rsidRPr="00C95F78" w:rsidRDefault="005A48E2" w:rsidP="00BB1A5E">
      <w:pPr>
        <w:spacing w:after="0" w:line="240" w:lineRule="auto"/>
        <w:contextualSpacing/>
        <w:jc w:val="both"/>
      </w:pPr>
    </w:p>
    <w:p w:rsidR="005A48E2" w:rsidRPr="00C95F78" w:rsidRDefault="00B74092" w:rsidP="00BB1A5E">
      <w:pPr>
        <w:spacing w:after="0" w:line="240" w:lineRule="auto"/>
        <w:contextualSpacing/>
        <w:jc w:val="both"/>
      </w:pPr>
      <w:r w:rsidRPr="00C95F78">
        <w:t>Perhaps more important than the new charging infrastructure itself will be the need to upgrade distribution transformers in the grid.</w:t>
      </w:r>
      <w:r w:rsidR="00E3629A">
        <w:t xml:space="preserve"> The rate of charging on a 220V</w:t>
      </w:r>
      <w:r w:rsidRPr="00C95F78">
        <w:t xml:space="preserve"> 15 AMP system could be around 3.3 kWh, a little less than the electricity consumption of the average US home. A 30 AMP system would absorb double this amount. Although most charging is expected to be at night, this could lead to an unsustainable strain on the existing electricity infrastructure. A recent EPRI study showed that plugging in just one PHEV in </w:t>
      </w:r>
      <w:r w:rsidR="005D42CB" w:rsidRPr="00C95F78">
        <w:t xml:space="preserve">the day time </w:t>
      </w:r>
      <w:r w:rsidR="003E4C96" w:rsidRPr="00C95F78">
        <w:t xml:space="preserve">in </w:t>
      </w:r>
      <w:r w:rsidRPr="00C95F78">
        <w:t>residential neighbourhoods led to the failure of 36 of 53 transformers</w:t>
      </w:r>
      <w:r w:rsidR="005D42CB" w:rsidRPr="00C95F78">
        <w:t>. Perhaps more surprising, the same experiment at night led to the failure of 5 of the 53 transformers.</w:t>
      </w:r>
    </w:p>
    <w:p w:rsidR="005A48E2" w:rsidRPr="00C95F78" w:rsidRDefault="005A48E2" w:rsidP="00BB1A5E">
      <w:pPr>
        <w:spacing w:after="0" w:line="240" w:lineRule="auto"/>
        <w:contextualSpacing/>
        <w:jc w:val="both"/>
      </w:pPr>
    </w:p>
    <w:p w:rsidR="005A48E2" w:rsidRPr="00C95F78" w:rsidRDefault="005D42CB" w:rsidP="00BB1A5E">
      <w:pPr>
        <w:spacing w:after="0" w:line="240" w:lineRule="auto"/>
        <w:contextualSpacing/>
        <w:jc w:val="both"/>
      </w:pPr>
      <w:r w:rsidRPr="00C95F78">
        <w:t>Just how many transformers will need to be replaced (or how many added) as a direct result of PHEV and BEV use is open to question. Where the final distribution transformers are copper, however, this could be a substantial market.</w:t>
      </w:r>
    </w:p>
    <w:p w:rsidR="005A48E2" w:rsidRPr="00C95F78" w:rsidRDefault="005A48E2" w:rsidP="00BB1A5E">
      <w:pPr>
        <w:spacing w:after="0" w:line="240" w:lineRule="auto"/>
        <w:contextualSpacing/>
        <w:jc w:val="both"/>
      </w:pPr>
    </w:p>
    <w:p w:rsidR="005A48E2" w:rsidRPr="00C95F78" w:rsidRDefault="00E81BF7"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Other Vehicle Parts</w:t>
      </w:r>
      <w:r w:rsidR="007750FB" w:rsidRPr="00C95F78">
        <w:rPr>
          <w:b/>
          <w:color w:val="365F91" w:themeColor="accent1" w:themeShade="BF"/>
          <w:sz w:val="24"/>
          <w:szCs w:val="24"/>
        </w:rPr>
        <w:t xml:space="preserve"> – Power Electronics</w:t>
      </w:r>
    </w:p>
    <w:p w:rsidR="005A48E2" w:rsidRPr="00C95F78" w:rsidRDefault="005A48E2" w:rsidP="00BB1A5E">
      <w:pPr>
        <w:spacing w:after="0" w:line="240" w:lineRule="auto"/>
        <w:contextualSpacing/>
        <w:jc w:val="both"/>
      </w:pPr>
    </w:p>
    <w:p w:rsidR="005A48E2" w:rsidRPr="00C95F78" w:rsidRDefault="00E81BF7" w:rsidP="00BB1A5E">
      <w:pPr>
        <w:spacing w:after="0" w:line="240" w:lineRule="auto"/>
        <w:contextualSpacing/>
        <w:jc w:val="both"/>
      </w:pPr>
      <w:r w:rsidRPr="00C95F78">
        <w:t>Other than the parts mentioned, there is significant additional copper to be found in a range of components in alternative vehicles and also in emerging designs of ICE vehicle.</w:t>
      </w:r>
      <w:r w:rsidR="007750FB" w:rsidRPr="00C95F78">
        <w:t xml:space="preserve"> Power electronics are probably the largest single contributor. While associated principally with the high voltage electrical systems of HEVs, PHEVs and FCEVs, power electronics are also involved in ICE vehicles. The automotive market for power electronics in 2009 has been estimated at US$300 million in value.</w:t>
      </w:r>
      <w:r w:rsidR="007750FB" w:rsidRPr="00C95F78">
        <w:rPr>
          <w:rStyle w:val="FootnoteReference"/>
        </w:rPr>
        <w:footnoteReference w:id="8"/>
      </w:r>
      <w:r w:rsidR="005F6216" w:rsidRPr="00C95F78">
        <w:t xml:space="preserve"> A</w:t>
      </w:r>
      <w:r w:rsidR="00B54A5B" w:rsidRPr="00C95F78">
        <w:t>n analysis of the automotive sector in the wider context of power electronics is provided in Section 6 “Cross Market Technologies”.</w:t>
      </w:r>
    </w:p>
    <w:p w:rsidR="005A48E2" w:rsidRPr="00C95F78" w:rsidRDefault="005A48E2" w:rsidP="00BB1A5E">
      <w:pPr>
        <w:spacing w:after="0" w:line="240" w:lineRule="auto"/>
        <w:contextualSpacing/>
        <w:jc w:val="both"/>
      </w:pPr>
    </w:p>
    <w:p w:rsidR="005A48E2" w:rsidRPr="00C95F78" w:rsidRDefault="007750FB" w:rsidP="00BB1A5E">
      <w:pPr>
        <w:spacing w:after="0" w:line="240" w:lineRule="auto"/>
        <w:contextualSpacing/>
        <w:jc w:val="both"/>
      </w:pPr>
      <w:r w:rsidRPr="00C95F78">
        <w:t xml:space="preserve">Power semiconductor devices are semiconductor devices used as switches or rectifiers in power electronic circuits (switch mode power supplies for example). </w:t>
      </w:r>
      <w:r w:rsidR="00024E6B" w:rsidRPr="00C95F78">
        <w:t xml:space="preserve">These are connected to </w:t>
      </w:r>
      <w:r w:rsidR="00BC7D22">
        <w:t xml:space="preserve">Printed circuit Boards </w:t>
      </w:r>
      <w:r w:rsidR="00BC7D22" w:rsidRPr="00BC7D22">
        <w:t>(</w:t>
      </w:r>
      <w:r w:rsidR="00B12CC7" w:rsidRPr="00BC7D22">
        <w:t>PCBs</w:t>
      </w:r>
      <w:r w:rsidR="00BC7D22" w:rsidRPr="00BC7D22">
        <w:t>)</w:t>
      </w:r>
      <w:r w:rsidR="00024E6B" w:rsidRPr="00C95F78">
        <w:t xml:space="preserve"> to fulfil the function powered to the power </w:t>
      </w:r>
      <w:r w:rsidR="005F6216" w:rsidRPr="00C95F78">
        <w:t>semiconductor. Power semiconductors</w:t>
      </w:r>
      <w:r w:rsidRPr="00C95F78">
        <w:t xml:space="preserve"> are also called power devices or when used in integrated circuits, called power ICs</w:t>
      </w:r>
      <w:r w:rsidR="00024E6B" w:rsidRPr="00C95F78">
        <w:t xml:space="preserve"> (or power modules)</w:t>
      </w:r>
      <w:r w:rsidRPr="00C95F78">
        <w:t>. Some common power devices are the power diode, thyristor, power MOSFET and IGBT (insulated gate bipolar transistor). A power diode or MOSFET operates on similar principles to its low-power counterpart, but is able to carry a larger amount of current and typically is able to support a larger reverse-bias voltage in the off-state.</w:t>
      </w:r>
      <w:r w:rsidR="00024E6B" w:rsidRPr="00C95F78">
        <w:t xml:space="preserve"> As part of a module design, there is a normally a heat flux path separate from the electric path, incorporating a heat sink.</w:t>
      </w:r>
    </w:p>
    <w:p w:rsidR="005A48E2" w:rsidRPr="00C95F78" w:rsidRDefault="005A48E2" w:rsidP="00BB1A5E">
      <w:pPr>
        <w:spacing w:after="0" w:line="240" w:lineRule="auto"/>
        <w:contextualSpacing/>
        <w:jc w:val="both"/>
      </w:pPr>
    </w:p>
    <w:p w:rsidR="005A48E2" w:rsidRPr="00C95F78" w:rsidRDefault="00FC10E0" w:rsidP="00BB1A5E">
      <w:pPr>
        <w:spacing w:after="0" w:line="240" w:lineRule="auto"/>
        <w:contextualSpacing/>
        <w:jc w:val="both"/>
      </w:pPr>
      <w:r w:rsidRPr="00C95F78">
        <w:t xml:space="preserve">The principal use of power electronics </w:t>
      </w:r>
      <w:r w:rsidR="00A05F3B" w:rsidRPr="00C95F78">
        <w:t xml:space="preserve">in cars </w:t>
      </w:r>
      <w:r w:rsidRPr="00C95F78">
        <w:t xml:space="preserve">(accounting for 74% of the market) is in the DC /AC inverter between the high voltage battery and traction motor. For exchanging energy between the 14 </w:t>
      </w:r>
      <w:r w:rsidR="000F56A4" w:rsidRPr="00C95F78">
        <w:t xml:space="preserve">volt </w:t>
      </w:r>
      <w:r w:rsidRPr="00C95F78">
        <w:t xml:space="preserve">DC power net and the DC high voltage (HV) power net a DC/DC converter is used. Optional an additional DC/DC boost converter can be used to increase the battery voltage for higher power ranges. The hybrid system allows additional auxiliary drives realized by additional inverters (DC/AC), for example powering HVAC, power steering or oil pumps. </w:t>
      </w:r>
    </w:p>
    <w:p w:rsidR="005A48E2" w:rsidRPr="00C95F78" w:rsidRDefault="005A48E2" w:rsidP="00BB1A5E">
      <w:pPr>
        <w:spacing w:after="0" w:line="240" w:lineRule="auto"/>
        <w:contextualSpacing/>
        <w:jc w:val="both"/>
      </w:pPr>
    </w:p>
    <w:p w:rsidR="005A48E2" w:rsidRPr="00C95F78" w:rsidRDefault="00FC10E0" w:rsidP="00BB1A5E">
      <w:pPr>
        <w:spacing w:after="0" w:line="240" w:lineRule="auto"/>
        <w:contextualSpacing/>
        <w:jc w:val="both"/>
      </w:pPr>
      <w:r w:rsidRPr="00C95F78">
        <w:t>Typically the inverter is realised by six IGBT switches, each with anti</w:t>
      </w:r>
      <w:r w:rsidR="000F42EE">
        <w:t>-</w:t>
      </w:r>
      <w:r w:rsidRPr="00C95F78">
        <w:t>parallel diode. The switching frequency of the IGBT’s in hybrid drives applications is in the range of 8-10 kHz. The switches are implemented in power modules well know</w:t>
      </w:r>
      <w:r w:rsidR="003E4C96" w:rsidRPr="00C95F78">
        <w:t>n</w:t>
      </w:r>
      <w:r w:rsidRPr="00C95F78">
        <w:t xml:space="preserve"> from industrial and traction applications. In total, it is estimated that 80% of the automotive market is accounted for by IGBT devices.</w:t>
      </w:r>
      <w:r w:rsidR="00212ED1" w:rsidRPr="00C95F78">
        <w:t xml:space="preserve"> MOSFETs are used more in low voltage applications and ones with high switching frequency.</w:t>
      </w:r>
    </w:p>
    <w:p w:rsidR="005A48E2" w:rsidRPr="00C95F78" w:rsidRDefault="005A48E2" w:rsidP="00BB1A5E">
      <w:pPr>
        <w:spacing w:after="0" w:line="240" w:lineRule="auto"/>
        <w:contextualSpacing/>
        <w:jc w:val="both"/>
      </w:pPr>
    </w:p>
    <w:p w:rsidR="005A48E2" w:rsidRPr="00C95F78" w:rsidRDefault="003E3D27" w:rsidP="00BB1A5E">
      <w:pPr>
        <w:autoSpaceDE w:val="0"/>
        <w:autoSpaceDN w:val="0"/>
        <w:adjustRightInd w:val="0"/>
        <w:spacing w:after="0" w:line="240" w:lineRule="auto"/>
        <w:jc w:val="both"/>
      </w:pPr>
      <w:r w:rsidRPr="00C95F78">
        <w:rPr>
          <w:rFonts w:cs="Arial"/>
        </w:rPr>
        <w:t xml:space="preserve">Today power semiconductor modules </w:t>
      </w:r>
      <w:r w:rsidR="00212ED1" w:rsidRPr="00C95F78">
        <w:rPr>
          <w:rFonts w:cs="Arial"/>
        </w:rPr>
        <w:t xml:space="preserve">used in the automotive sector </w:t>
      </w:r>
      <w:r w:rsidRPr="00C95F78">
        <w:rPr>
          <w:rFonts w:cs="Arial"/>
        </w:rPr>
        <w:t>usually</w:t>
      </w:r>
      <w:r w:rsidR="00212ED1" w:rsidRPr="00C95F78">
        <w:rPr>
          <w:rFonts w:cs="Arial"/>
        </w:rPr>
        <w:t xml:space="preserve"> </w:t>
      </w:r>
      <w:r w:rsidRPr="00C95F78">
        <w:rPr>
          <w:rFonts w:cs="Arial"/>
        </w:rPr>
        <w:t>contain several IGBTs and diodes, which are</w:t>
      </w:r>
      <w:r w:rsidR="00212ED1" w:rsidRPr="00C95F78">
        <w:rPr>
          <w:rFonts w:cs="Arial"/>
        </w:rPr>
        <w:t xml:space="preserve"> </w:t>
      </w:r>
      <w:r w:rsidRPr="00C95F78">
        <w:rPr>
          <w:rFonts w:cs="Arial"/>
        </w:rPr>
        <w:t>soldered onto a metallised ceramic substrate. To</w:t>
      </w:r>
      <w:r w:rsidR="00212ED1" w:rsidRPr="00C95F78">
        <w:rPr>
          <w:rFonts w:cs="Arial"/>
        </w:rPr>
        <w:t xml:space="preserve"> </w:t>
      </w:r>
      <w:r w:rsidRPr="00C95F78">
        <w:rPr>
          <w:rFonts w:cs="Arial"/>
        </w:rPr>
        <w:t xml:space="preserve">connect the top side of the chips </w:t>
      </w:r>
      <w:r w:rsidR="00212ED1" w:rsidRPr="00C95F78">
        <w:rPr>
          <w:rFonts w:cs="Arial"/>
        </w:rPr>
        <w:t xml:space="preserve">with a PCB, </w:t>
      </w:r>
      <w:r w:rsidRPr="00C95F78">
        <w:rPr>
          <w:rFonts w:cs="Arial"/>
        </w:rPr>
        <w:t>wire bonding is</w:t>
      </w:r>
      <w:r w:rsidR="00212ED1" w:rsidRPr="00C95F78">
        <w:rPr>
          <w:rFonts w:cs="Arial"/>
        </w:rPr>
        <w:t xml:space="preserve"> often employed</w:t>
      </w:r>
      <w:r w:rsidRPr="00C95F78">
        <w:rPr>
          <w:rFonts w:cs="Arial"/>
        </w:rPr>
        <w:t>. Multiple substrates are connected</w:t>
      </w:r>
      <w:r w:rsidR="00212ED1" w:rsidRPr="00C95F78">
        <w:rPr>
          <w:rFonts w:cs="Arial"/>
        </w:rPr>
        <w:t xml:space="preserve"> </w:t>
      </w:r>
      <w:r w:rsidRPr="00C95F78">
        <w:rPr>
          <w:rFonts w:cs="Arial"/>
        </w:rPr>
        <w:t>to a base</w:t>
      </w:r>
      <w:r w:rsidR="00FC7B85" w:rsidRPr="00C95F78">
        <w:rPr>
          <w:rFonts w:cs="Arial"/>
        </w:rPr>
        <w:t xml:space="preserve"> </w:t>
      </w:r>
      <w:r w:rsidRPr="00C95F78">
        <w:rPr>
          <w:rFonts w:cs="Arial"/>
        </w:rPr>
        <w:t>plate by use of soft-solder joints</w:t>
      </w:r>
      <w:r w:rsidR="00212ED1" w:rsidRPr="00C95F78">
        <w:rPr>
          <w:rFonts w:cs="Arial"/>
        </w:rPr>
        <w:t>. The base</w:t>
      </w:r>
      <w:r w:rsidR="00FC7B85" w:rsidRPr="00C95F78">
        <w:rPr>
          <w:rFonts w:cs="Arial"/>
        </w:rPr>
        <w:t xml:space="preserve"> </w:t>
      </w:r>
      <w:r w:rsidR="00212ED1" w:rsidRPr="00C95F78">
        <w:rPr>
          <w:rFonts w:cs="Arial"/>
        </w:rPr>
        <w:t xml:space="preserve">plate in turn is usually connected to a heat sink. </w:t>
      </w:r>
    </w:p>
    <w:p w:rsidR="005A48E2" w:rsidRPr="00C95F78" w:rsidRDefault="005A48E2" w:rsidP="00BB1A5E">
      <w:pPr>
        <w:spacing w:after="0" w:line="240" w:lineRule="auto"/>
        <w:contextualSpacing/>
        <w:jc w:val="both"/>
      </w:pPr>
    </w:p>
    <w:p w:rsidR="005A48E2" w:rsidRPr="00C95F78" w:rsidRDefault="003E3D27" w:rsidP="00BB1A5E">
      <w:pPr>
        <w:spacing w:after="0" w:line="240" w:lineRule="auto"/>
        <w:contextualSpacing/>
        <w:jc w:val="both"/>
      </w:pPr>
      <w:r w:rsidRPr="00C95F78">
        <w:t xml:space="preserve">Over the lifetime of </w:t>
      </w:r>
      <w:r w:rsidR="00024E6B" w:rsidRPr="00C95F78">
        <w:t>power</w:t>
      </w:r>
      <w:r w:rsidRPr="00C95F78">
        <w:t xml:space="preserve"> modules the layers are</w:t>
      </w:r>
      <w:r w:rsidR="00212ED1" w:rsidRPr="00C95F78">
        <w:t xml:space="preserve"> </w:t>
      </w:r>
      <w:r w:rsidRPr="00C95F78">
        <w:t>prone to recurring mechanical stress, due to the</w:t>
      </w:r>
      <w:r w:rsidR="00212ED1" w:rsidRPr="00C95F78">
        <w:t xml:space="preserve"> </w:t>
      </w:r>
      <w:r w:rsidR="00024E6B" w:rsidRPr="00C95F78">
        <w:t>ongoing thermal cycles c</w:t>
      </w:r>
      <w:r w:rsidRPr="00C95F78">
        <w:t>aused by the current</w:t>
      </w:r>
      <w:r w:rsidR="00212ED1" w:rsidRPr="00C95F78">
        <w:t xml:space="preserve"> </w:t>
      </w:r>
      <w:r w:rsidRPr="00C95F78">
        <w:t>f</w:t>
      </w:r>
      <w:r w:rsidR="00024E6B" w:rsidRPr="00C95F78">
        <w:t>low in the semiconductor and its</w:t>
      </w:r>
      <w:r w:rsidRPr="00C95F78">
        <w:t xml:space="preserve"> resulting heat</w:t>
      </w:r>
      <w:r w:rsidR="00024E6B" w:rsidRPr="00C95F78">
        <w:t>ing (and cooling). The materials employed, including</w:t>
      </w:r>
      <w:r w:rsidRPr="00C95F78">
        <w:t xml:space="preserve"> copper, ceramics,</w:t>
      </w:r>
      <w:r w:rsidR="00212ED1" w:rsidRPr="00C95F78">
        <w:t xml:space="preserve"> </w:t>
      </w:r>
      <w:r w:rsidRPr="00C95F78">
        <w:t>silicon and aluminium expand with their different</w:t>
      </w:r>
      <w:r w:rsidR="00212ED1" w:rsidRPr="00C95F78">
        <w:t xml:space="preserve"> </w:t>
      </w:r>
      <w:r w:rsidRPr="00C95F78">
        <w:t>coefficients of expansion.</w:t>
      </w:r>
      <w:r w:rsidR="00212ED1" w:rsidRPr="00C95F78">
        <w:t xml:space="preserve"> </w:t>
      </w:r>
      <w:r w:rsidRPr="00C95F78">
        <w:t>This may lead to premature solder fatigue</w:t>
      </w:r>
      <w:r w:rsidR="00212ED1" w:rsidRPr="00C95F78">
        <w:t xml:space="preserve"> </w:t>
      </w:r>
      <w:r w:rsidRPr="00C95F78">
        <w:t xml:space="preserve">between the </w:t>
      </w:r>
      <w:r w:rsidR="00024E6B" w:rsidRPr="00C95F78">
        <w:t>semiconductor devices and the</w:t>
      </w:r>
      <w:r w:rsidRPr="00C95F78">
        <w:t xml:space="preserve"> substrate</w:t>
      </w:r>
      <w:r w:rsidR="00024E6B" w:rsidRPr="00C95F78">
        <w:t>, and between substrate</w:t>
      </w:r>
      <w:r w:rsidRPr="00C95F78">
        <w:t xml:space="preserve"> and </w:t>
      </w:r>
      <w:r w:rsidR="00024E6B" w:rsidRPr="00C95F78">
        <w:t>b</w:t>
      </w:r>
      <w:r w:rsidRPr="00C95F78">
        <w:t>ase</w:t>
      </w:r>
      <w:r w:rsidR="00FC7B85" w:rsidRPr="00C95F78">
        <w:t xml:space="preserve"> </w:t>
      </w:r>
      <w:r w:rsidRPr="00C95F78">
        <w:t>plate.</w:t>
      </w:r>
      <w:r w:rsidR="00212ED1" w:rsidRPr="00C95F78">
        <w:t xml:space="preserve"> </w:t>
      </w:r>
      <w:r w:rsidRPr="00C95F78">
        <w:t>The result is de</w:t>
      </w:r>
      <w:r w:rsidR="00024E6B" w:rsidRPr="00C95F78">
        <w:t>-</w:t>
      </w:r>
      <w:r w:rsidRPr="00C95F78">
        <w:t>lamination of the solder layer</w:t>
      </w:r>
      <w:r w:rsidR="00024E6B" w:rsidRPr="00C95F78">
        <w:t>, a</w:t>
      </w:r>
      <w:r w:rsidR="000F56A4" w:rsidRPr="00C95F78">
        <w:t>n</w:t>
      </w:r>
      <w:r w:rsidR="00024E6B" w:rsidRPr="00C95F78">
        <w:t xml:space="preserve"> ultimately failure. </w:t>
      </w:r>
      <w:r w:rsidR="000F56A4" w:rsidRPr="00C95F78">
        <w:t xml:space="preserve">In </w:t>
      </w:r>
      <w:r w:rsidR="00024E6B" w:rsidRPr="00C95F78">
        <w:t>order to ensure that such failures do not occur, there is a great deal of development into how best to combine materials to avoid stress, ensure better bonding between materials, and to dissipate heat so that thermal cycling is less intense.</w:t>
      </w:r>
    </w:p>
    <w:p w:rsidR="005A48E2" w:rsidRPr="00C95F78" w:rsidRDefault="005A48E2" w:rsidP="00BB1A5E">
      <w:pPr>
        <w:spacing w:after="0" w:line="240" w:lineRule="auto"/>
        <w:contextualSpacing/>
        <w:jc w:val="both"/>
      </w:pPr>
    </w:p>
    <w:p w:rsidR="005A48E2" w:rsidRPr="00C95F78" w:rsidRDefault="00D11207" w:rsidP="00BB1A5E">
      <w:pPr>
        <w:spacing w:after="0" w:line="240" w:lineRule="auto"/>
        <w:contextualSpacing/>
        <w:jc w:val="both"/>
      </w:pPr>
      <w:r w:rsidRPr="00C95F78">
        <w:t>The variation in power semiconductor configurations is enormous, as is their material content. One key area of variation is in the connection of the power module to the outside environment (a PCB). The nature of the connection depends largely on power rating. In the lowest power (typically below 100 Watts), the module will be soldered into a printed circuit board (PCB). As the current increases, the power module gets bigger and heavier. Thus it has to be soldered separately into the PCB, typically by using soldering robots which can solder the module pins to the circuit board one by one. Recently, a press pin configuration has been established, where the terminals of the power module are pressed into the PCB</w:t>
      </w:r>
      <w:r w:rsidR="001D6D17" w:rsidRPr="00C95F78">
        <w:t xml:space="preserve">. </w:t>
      </w:r>
      <w:r w:rsidRPr="00C95F78">
        <w:t xml:space="preserve">If the current exceeds 100 to 150 AMPs (as in most automotive applications) a direct PCB to module interconnect is no longer feasible. Typically, the power terminals will be screwed to busbar metals sheets and / or cables. Screw type terminals are used up to highest currents by paralleling connectors. For very high currents, </w:t>
      </w:r>
      <w:r w:rsidR="001D6D17" w:rsidRPr="00C95F78">
        <w:t xml:space="preserve">however, </w:t>
      </w:r>
      <w:r w:rsidRPr="00C95F78">
        <w:t xml:space="preserve">press pack modules are </w:t>
      </w:r>
      <w:r w:rsidR="001D6D17" w:rsidRPr="00C95F78">
        <w:t xml:space="preserve">often </w:t>
      </w:r>
      <w:r w:rsidRPr="00C95F78">
        <w:t xml:space="preserve">used. The top and bottom surfaces of </w:t>
      </w:r>
      <w:r w:rsidR="001D6D17" w:rsidRPr="00C95F78">
        <w:t>such a</w:t>
      </w:r>
      <w:r w:rsidRPr="00C95F78">
        <w:t xml:space="preserve"> device serve as the main electrical contacts.</w:t>
      </w:r>
    </w:p>
    <w:p w:rsidR="005A48E2" w:rsidRPr="00C95F78" w:rsidRDefault="005A48E2" w:rsidP="00BB1A5E">
      <w:pPr>
        <w:spacing w:after="0" w:line="240" w:lineRule="auto"/>
        <w:contextualSpacing/>
        <w:jc w:val="both"/>
      </w:pPr>
    </w:p>
    <w:p w:rsidR="005A48E2" w:rsidRPr="00C95F78" w:rsidRDefault="001D6D17" w:rsidP="00BB1A5E">
      <w:pPr>
        <w:spacing w:after="0" w:line="240" w:lineRule="auto"/>
        <w:contextualSpacing/>
        <w:jc w:val="both"/>
      </w:pPr>
      <w:r w:rsidRPr="00C95F78">
        <w:t>Another key variable is the method of heat dissipation. It is common for a power module to be mounted onto a heat sink (commonly of copper). The semiconductor chips themselves are connected (usually soldered)</w:t>
      </w:r>
      <w:r w:rsidR="000F56A4" w:rsidRPr="00C95F78">
        <w:t xml:space="preserve"> </w:t>
      </w:r>
      <w:r w:rsidRPr="00C95F78">
        <w:t>to a double sided metallised ceramic substrate which has to provide both, excellent thermal conductivity and electrical insulation. The metallization is typically realized by a thick (300 μm) copper layer. For a base plate module, the chip carrying substrate is soldered to a base plate (3-5 mm thick) which is either made from copper or a metal-matrix compound material, such as AlSiC.</w:t>
      </w:r>
      <w:r w:rsidR="000F56A4" w:rsidRPr="00C95F78">
        <w:t xml:space="preserve"> </w:t>
      </w:r>
      <w:r w:rsidRPr="00C95F78">
        <w:t>Before mounting this base plate to the heat sink, an interface layer of thermally conducting material has to be applied either to the module or to the heat</w:t>
      </w:r>
      <w:r w:rsidR="00FC7B85" w:rsidRPr="00C95F78">
        <w:t xml:space="preserve"> </w:t>
      </w:r>
      <w:r w:rsidRPr="00C95F78">
        <w:t xml:space="preserve">sink so that no air gaps prevent good thermal contact between </w:t>
      </w:r>
      <w:r w:rsidR="00FC7B85" w:rsidRPr="00C95F78">
        <w:t>base plate</w:t>
      </w:r>
      <w:r w:rsidRPr="00C95F78">
        <w:t xml:space="preserve"> and heat sink. </w:t>
      </w:r>
      <w:r w:rsidR="00FC7B85" w:rsidRPr="00C95F78">
        <w:t>In less demanding applications the base plate may be dispensed with, thermal grease being applied directly between chip carrying substrate and heat sink.</w:t>
      </w:r>
    </w:p>
    <w:p w:rsidR="005A48E2" w:rsidRPr="00C95F78" w:rsidRDefault="005A48E2" w:rsidP="00BB1A5E">
      <w:pPr>
        <w:spacing w:after="0" w:line="240" w:lineRule="auto"/>
        <w:contextualSpacing/>
        <w:jc w:val="both"/>
      </w:pPr>
    </w:p>
    <w:p w:rsidR="005A48E2" w:rsidRPr="00C95F78" w:rsidRDefault="00FC7B85" w:rsidP="00BB1A5E">
      <w:pPr>
        <w:spacing w:after="0" w:line="240" w:lineRule="auto"/>
        <w:contextualSpacing/>
        <w:jc w:val="both"/>
      </w:pPr>
      <w:r w:rsidRPr="00C95F78">
        <w:t>While the “packaged” approach described above is the norm, in the automotive sector “unpackaged” assembly of discrete units is becoming common. The advantage is that relatively simple components can be used and assembled easily into the tight spaces required, offering an end product that is rugged, able to withstand heat cy</w:t>
      </w:r>
      <w:r w:rsidR="00A44D5A" w:rsidRPr="00C95F78">
        <w:t xml:space="preserve">cling stress and vibration. </w:t>
      </w:r>
    </w:p>
    <w:p w:rsidR="005A48E2" w:rsidRPr="00C95F78" w:rsidRDefault="005A48E2" w:rsidP="00BB1A5E">
      <w:pPr>
        <w:spacing w:after="0" w:line="240" w:lineRule="auto"/>
        <w:contextualSpacing/>
        <w:jc w:val="both"/>
      </w:pPr>
    </w:p>
    <w:p w:rsidR="005A48E2" w:rsidRPr="00C95F78" w:rsidRDefault="00A44D5A" w:rsidP="00BB1A5E">
      <w:pPr>
        <w:spacing w:after="0" w:line="240" w:lineRule="auto"/>
        <w:contextualSpacing/>
        <w:jc w:val="both"/>
      </w:pPr>
      <w:r w:rsidRPr="00C95F78">
        <w:t>An example of a</w:t>
      </w:r>
      <w:r w:rsidR="000F56A4" w:rsidRPr="00C95F78">
        <w:t>n</w:t>
      </w:r>
      <w:r w:rsidRPr="00C95F78">
        <w:t xml:space="preserve"> un-packaged automotive product is</w:t>
      </w:r>
      <w:r w:rsidR="00FC7B85" w:rsidRPr="00C95F78">
        <w:t xml:space="preserve"> shown in the DC/AC inverter in the Figure below. The construction of this assembly starts with</w:t>
      </w:r>
      <w:r w:rsidRPr="00C95F78">
        <w:t xml:space="preserve"> substrates containing MOSFETs i</w:t>
      </w:r>
      <w:r w:rsidR="00FC7B85" w:rsidRPr="00C95F78">
        <w:t>n a dual pack configuration,</w:t>
      </w:r>
      <w:r w:rsidRPr="00C95F78">
        <w:t xml:space="preserve"> </w:t>
      </w:r>
      <w:r w:rsidR="00FC7B85" w:rsidRPr="00C95F78">
        <w:t xml:space="preserve">temperature sensors and filter capacitors. </w:t>
      </w:r>
      <w:r w:rsidRPr="00C95F78">
        <w:t xml:space="preserve">The </w:t>
      </w:r>
      <w:r w:rsidR="00FC7B85" w:rsidRPr="00C95F78">
        <w:t>substrates are mounted</w:t>
      </w:r>
      <w:r w:rsidRPr="00C95F78">
        <w:t xml:space="preserve"> </w:t>
      </w:r>
      <w:r w:rsidR="00FC7B85" w:rsidRPr="00C95F78">
        <w:t>on a cu</w:t>
      </w:r>
      <w:r w:rsidRPr="00C95F78">
        <w:t>stomis</w:t>
      </w:r>
      <w:r w:rsidR="00FC7B85" w:rsidRPr="00C95F78">
        <w:t>ed heat</w:t>
      </w:r>
      <w:r w:rsidRPr="00C95F78">
        <w:t xml:space="preserve"> sink, with a</w:t>
      </w:r>
      <w:r w:rsidR="00FC7B85" w:rsidRPr="00C95F78">
        <w:t xml:space="preserve"> layer of</w:t>
      </w:r>
      <w:r w:rsidRPr="00C95F78">
        <w:t xml:space="preserve"> </w:t>
      </w:r>
      <w:r w:rsidR="00FC7B85" w:rsidRPr="00C95F78">
        <w:t xml:space="preserve">thermal grease. </w:t>
      </w:r>
      <w:r w:rsidRPr="00C95F78">
        <w:t xml:space="preserve">Then a plastic frame with </w:t>
      </w:r>
      <w:r w:rsidR="00FC7B85" w:rsidRPr="00C95F78">
        <w:t>screw type terminals is</w:t>
      </w:r>
      <w:r w:rsidRPr="00C95F78">
        <w:t xml:space="preserve"> </w:t>
      </w:r>
      <w:r w:rsidR="00FC7B85" w:rsidRPr="00C95F78">
        <w:t>mounted. In a third step, a DC and AC busbar system with</w:t>
      </w:r>
      <w:r w:rsidRPr="00C95F78">
        <w:t xml:space="preserve"> </w:t>
      </w:r>
      <w:r w:rsidR="00FC7B85" w:rsidRPr="00C95F78">
        <w:t>integrated DC-link capacitor is placed.</w:t>
      </w:r>
      <w:r w:rsidRPr="00C95F78">
        <w:t xml:space="preserve"> </w:t>
      </w:r>
      <w:r w:rsidR="00FC7B85" w:rsidRPr="00C95F78">
        <w:t>A so called pressure part is mounted on top of the DC link</w:t>
      </w:r>
      <w:r w:rsidRPr="00C95F78">
        <w:t xml:space="preserve"> </w:t>
      </w:r>
      <w:r w:rsidR="00FC7B85" w:rsidRPr="00C95F78">
        <w:t>by screwing it to the heat</w:t>
      </w:r>
      <w:r w:rsidRPr="00C95F78">
        <w:t xml:space="preserve"> </w:t>
      </w:r>
      <w:r w:rsidR="00FC7B85" w:rsidRPr="00C95F78">
        <w:t>sink. This pressure part which</w:t>
      </w:r>
      <w:r w:rsidRPr="00C95F78">
        <w:t xml:space="preserve"> </w:t>
      </w:r>
      <w:r w:rsidR="00FC7B85" w:rsidRPr="00C95F78">
        <w:t>contains pre-assembled springs for auxiliary contacts,</w:t>
      </w:r>
      <w:r w:rsidRPr="00C95F78">
        <w:t xml:space="preserve"> </w:t>
      </w:r>
      <w:r w:rsidR="00FC7B85" w:rsidRPr="00C95F78">
        <w:t>presses the power terminals to the substrate, thus enabling</w:t>
      </w:r>
      <w:r w:rsidRPr="00C95F78">
        <w:t xml:space="preserve"> </w:t>
      </w:r>
      <w:r w:rsidR="00FC7B85" w:rsidRPr="00C95F78">
        <w:t>thermal and electrical contact. A silicone</w:t>
      </w:r>
      <w:r w:rsidRPr="00C95F78">
        <w:t xml:space="preserve"> </w:t>
      </w:r>
      <w:r w:rsidR="00FC7B85" w:rsidRPr="00C95F78">
        <w:t>foam layer between pressure element and terminals assures</w:t>
      </w:r>
      <w:r w:rsidRPr="00C95F78">
        <w:t xml:space="preserve"> </w:t>
      </w:r>
      <w:r w:rsidR="00FC7B85" w:rsidRPr="00C95F78">
        <w:t>evenly distributed mechanical pressure across the entire</w:t>
      </w:r>
      <w:r w:rsidRPr="00C95F78">
        <w:t xml:space="preserve"> </w:t>
      </w:r>
      <w:r w:rsidR="00FC7B85" w:rsidRPr="00C95F78">
        <w:t>device. Now, a PCB can be mounted which contains gate</w:t>
      </w:r>
      <w:r w:rsidRPr="00C95F78">
        <w:t xml:space="preserve"> </w:t>
      </w:r>
      <w:r w:rsidR="00FC7B85" w:rsidRPr="00C95F78">
        <w:t>drivers, current-, voltage-, and temperature-sense</w:t>
      </w:r>
      <w:r w:rsidRPr="00C95F78">
        <w:t xml:space="preserve"> </w:t>
      </w:r>
      <w:r w:rsidR="00FC7B85" w:rsidRPr="00C95F78">
        <w:t>electronics, as well as the controller PCB. Finally, a metal</w:t>
      </w:r>
      <w:r w:rsidRPr="00C95F78">
        <w:t xml:space="preserve"> </w:t>
      </w:r>
      <w:r w:rsidR="00FC7B85" w:rsidRPr="00C95F78">
        <w:t>or a plastic hood is placed over the assembly, providing</w:t>
      </w:r>
      <w:r w:rsidRPr="00C95F78">
        <w:t xml:space="preserve"> </w:t>
      </w:r>
      <w:r w:rsidR="00FC7B85" w:rsidRPr="00C95F78">
        <w:t>environmental protection.</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D06EC5" w:rsidP="00BB1A5E">
      <w:pPr>
        <w:pStyle w:val="Caption"/>
        <w:contextualSpacing/>
        <w:jc w:val="center"/>
        <w:rPr>
          <w:sz w:val="28"/>
          <w:szCs w:val="28"/>
        </w:rPr>
      </w:pPr>
      <w:bookmarkStart w:id="64" w:name="_Toc26367168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34</w:t>
      </w:r>
      <w:r w:rsidR="00D50FDC" w:rsidRPr="00C95F78">
        <w:rPr>
          <w:sz w:val="28"/>
          <w:szCs w:val="28"/>
        </w:rPr>
        <w:fldChar w:fldCharType="end"/>
      </w:r>
      <w:r w:rsidRPr="00C95F78">
        <w:rPr>
          <w:sz w:val="28"/>
          <w:szCs w:val="28"/>
        </w:rPr>
        <w:t>: Unpackaged Power Semiconductor Assembly for a DC to AC Inverter</w:t>
      </w:r>
      <w:r w:rsidRPr="00C95F78">
        <w:rPr>
          <w:rStyle w:val="FootnoteReference"/>
          <w:sz w:val="28"/>
          <w:szCs w:val="28"/>
        </w:rPr>
        <w:footnoteReference w:id="9"/>
      </w:r>
      <w:bookmarkEnd w:id="64"/>
    </w:p>
    <w:p w:rsidR="005A48E2" w:rsidRPr="00C95F78" w:rsidRDefault="00D06EC5" w:rsidP="00BB1A5E">
      <w:pPr>
        <w:spacing w:after="0" w:line="240" w:lineRule="auto"/>
        <w:ind w:left="1474"/>
        <w:contextualSpacing/>
        <w:jc w:val="both"/>
      </w:pPr>
      <w:r w:rsidRPr="00C95F78">
        <w:rPr>
          <w:noProof/>
          <w:lang w:val="en-US"/>
        </w:rPr>
        <w:drawing>
          <wp:inline distT="0" distB="0" distL="0" distR="0">
            <wp:extent cx="4253230" cy="376364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253230" cy="3763645"/>
                    </a:xfrm>
                    <a:prstGeom prst="rect">
                      <a:avLst/>
                    </a:prstGeom>
                    <a:noFill/>
                    <a:ln w="9525">
                      <a:noFill/>
                      <a:miter lim="800000"/>
                      <a:headEnd/>
                      <a:tailEnd/>
                    </a:ln>
                  </pic:spPr>
                </pic:pic>
              </a:graphicData>
            </a:graphic>
          </wp:inline>
        </w:drawing>
      </w:r>
    </w:p>
    <w:p w:rsidR="005A48E2" w:rsidRPr="00C95F78" w:rsidRDefault="00A44D5A" w:rsidP="00BB1A5E">
      <w:pPr>
        <w:spacing w:after="0" w:line="240" w:lineRule="auto"/>
        <w:contextualSpacing/>
        <w:jc w:val="both"/>
      </w:pPr>
      <w:r w:rsidRPr="00C95F78">
        <w:t xml:space="preserve">The above analysis indicates that there is a huge amount of variety in the power semiconductor business, and the technical solution may or may not be particularly advantageous to copper. Whatever the solution, however, the copper content is significant, and it appears to be growing more or less in line with </w:t>
      </w:r>
      <w:r w:rsidR="005C0747" w:rsidRPr="00C95F78">
        <w:t>the semiconductor market itself. Indeed, greater power density and thermal cycling tends to be advantageous to copper, leading to the use of thicker metallised layers on substrates, some copper-based soldering, and larger heat sinks.</w:t>
      </w:r>
    </w:p>
    <w:p w:rsidR="005A48E2" w:rsidRPr="00C95F78" w:rsidRDefault="005A48E2" w:rsidP="00BB1A5E">
      <w:pPr>
        <w:spacing w:after="0" w:line="240" w:lineRule="auto"/>
        <w:contextualSpacing/>
        <w:jc w:val="both"/>
      </w:pPr>
    </w:p>
    <w:p w:rsidR="005A48E2" w:rsidRPr="00C95F78" w:rsidRDefault="005C0747" w:rsidP="00BB1A5E">
      <w:pPr>
        <w:spacing w:after="0" w:line="240" w:lineRule="auto"/>
        <w:contextualSpacing/>
        <w:jc w:val="both"/>
      </w:pPr>
      <w:r w:rsidRPr="00C95F78">
        <w:t xml:space="preserve">Looking at the present global automotive power semiconductor market for copper, we do not believe it to be particularly large, probably around 4 kt (and </w:t>
      </w:r>
      <w:r w:rsidR="00311BE1" w:rsidRPr="00C95F78">
        <w:t xml:space="preserve">possibly </w:t>
      </w:r>
      <w:r w:rsidRPr="00C95F78">
        <w:t xml:space="preserve">less than 2 kt for alternative vehicle types). The market is expected to expand to around 45 kt </w:t>
      </w:r>
      <w:r w:rsidR="00311BE1" w:rsidRPr="00C95F78">
        <w:t xml:space="preserve">of copper </w:t>
      </w:r>
      <w:r w:rsidRPr="00C95F78">
        <w:t xml:space="preserve">by 2020 </w:t>
      </w:r>
      <w:r w:rsidR="009C2014" w:rsidRPr="00C95F78">
        <w:t>(</w:t>
      </w:r>
      <w:r w:rsidRPr="00C95F78">
        <w:t>or 9 kt in Europe), most of this being for alternative vehicle types.</w:t>
      </w:r>
      <w:r w:rsidR="000F56A4" w:rsidRPr="00C95F78">
        <w:t xml:space="preserve"> </w:t>
      </w:r>
      <w:r w:rsidRPr="00C95F78">
        <w:t xml:space="preserve">The products involved with </w:t>
      </w:r>
      <w:r w:rsidR="009C2014" w:rsidRPr="00C95F78">
        <w:t xml:space="preserve">are </w:t>
      </w:r>
      <w:r w:rsidRPr="00C95F78">
        <w:t>mainly copper strip, copper foil and copper bar.</w:t>
      </w:r>
    </w:p>
    <w:p w:rsidR="005A48E2" w:rsidRPr="00C95F78" w:rsidRDefault="005A48E2" w:rsidP="00BB1A5E">
      <w:pPr>
        <w:spacing w:after="0" w:line="240" w:lineRule="auto"/>
        <w:contextualSpacing/>
        <w:jc w:val="both"/>
      </w:pPr>
    </w:p>
    <w:p w:rsidR="005A48E2" w:rsidRPr="00C95F78" w:rsidRDefault="005C0747"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Other Vehicle Parts – ICE Vehicles</w:t>
      </w:r>
    </w:p>
    <w:p w:rsidR="005A48E2" w:rsidRPr="00C95F78" w:rsidRDefault="005A48E2" w:rsidP="00BB1A5E">
      <w:pPr>
        <w:spacing w:after="0" w:line="240" w:lineRule="auto"/>
        <w:contextualSpacing/>
        <w:jc w:val="both"/>
      </w:pPr>
    </w:p>
    <w:p w:rsidR="005A48E2" w:rsidRPr="00C95F78" w:rsidRDefault="005C0747" w:rsidP="00BB1A5E">
      <w:pPr>
        <w:spacing w:after="0" w:line="240" w:lineRule="auto"/>
        <w:contextualSpacing/>
        <w:jc w:val="both"/>
      </w:pPr>
      <w:r w:rsidRPr="00C95F78">
        <w:t xml:space="preserve">In the analysis above, we discuss power electronics. While the growth in this </w:t>
      </w:r>
      <w:r w:rsidR="009C2014" w:rsidRPr="00C95F78">
        <w:t xml:space="preserve">area </w:t>
      </w:r>
      <w:r w:rsidRPr="00C95F78">
        <w:t xml:space="preserve">will mainly be for alternative vehicle types, ICE vehicles will also benefit. </w:t>
      </w:r>
      <w:r w:rsidR="009C2014" w:rsidRPr="00C95F78">
        <w:t>The</w:t>
      </w:r>
      <w:r w:rsidRPr="00C95F78">
        <w:t xml:space="preserve"> same is true of re</w:t>
      </w:r>
      <w:r w:rsidR="00FA3761" w:rsidRPr="00C95F78">
        <w:t>generative</w:t>
      </w:r>
      <w:r w:rsidRPr="00C95F78">
        <w:t xml:space="preserve"> braking. Although a necessary part of electric vehicles energy </w:t>
      </w:r>
      <w:r w:rsidR="000E6A6B" w:rsidRPr="00C95F78">
        <w:t>management system, re</w:t>
      </w:r>
      <w:r w:rsidR="00FA3761" w:rsidRPr="00C95F78">
        <w:t>generative braking</w:t>
      </w:r>
      <w:r w:rsidR="000E6A6B" w:rsidRPr="00C95F78">
        <w:t xml:space="preserve"> can and is being adapted for use in ICE vehicles.</w:t>
      </w:r>
    </w:p>
    <w:p w:rsidR="005A48E2" w:rsidRPr="00C95F78" w:rsidRDefault="005A48E2" w:rsidP="00BB1A5E">
      <w:pPr>
        <w:spacing w:after="0" w:line="240" w:lineRule="auto"/>
        <w:contextualSpacing/>
        <w:jc w:val="both"/>
      </w:pPr>
    </w:p>
    <w:p w:rsidR="005A48E2" w:rsidRPr="00C95F78" w:rsidRDefault="000E6A6B" w:rsidP="00BB1A5E">
      <w:pPr>
        <w:spacing w:after="0" w:line="240" w:lineRule="auto"/>
        <w:contextualSpacing/>
        <w:jc w:val="both"/>
        <w:rPr>
          <w:szCs w:val="20"/>
        </w:rPr>
      </w:pPr>
      <w:r w:rsidRPr="00C95F78">
        <w:rPr>
          <w:b/>
        </w:rPr>
        <w:t>Re</w:t>
      </w:r>
      <w:r w:rsidR="00FA3761" w:rsidRPr="00C95F78">
        <w:rPr>
          <w:b/>
        </w:rPr>
        <w:t>generative</w:t>
      </w:r>
      <w:r w:rsidRPr="00C95F78">
        <w:rPr>
          <w:b/>
        </w:rPr>
        <w:t xml:space="preserve"> Braking:</w:t>
      </w:r>
      <w:r w:rsidR="00FA3761" w:rsidRPr="00C95F78">
        <w:rPr>
          <w:b/>
        </w:rPr>
        <w:t xml:space="preserve"> </w:t>
      </w:r>
      <w:r w:rsidR="00FA3761" w:rsidRPr="00C95F78">
        <w:t xml:space="preserve">The principal behind regenerative braking is that the energy lost in friction and heat during the braking process can be captured, stored, and used to provide power. This is a central principal behind the current breed of HEVs, the system being used to add charge to the high voltage battery. Other forms of storage, perhaps more suitable for ICE vehicles, are under investigation. </w:t>
      </w:r>
      <w:r w:rsidR="00FA3761" w:rsidRPr="00C95F78">
        <w:rPr>
          <w:szCs w:val="20"/>
        </w:rPr>
        <w:t>The k</w:t>
      </w:r>
      <w:r w:rsidR="00DE5C81" w:rsidRPr="00C95F78">
        <w:rPr>
          <w:szCs w:val="20"/>
        </w:rPr>
        <w:t>i</w:t>
      </w:r>
      <w:r w:rsidR="00FA3761" w:rsidRPr="00C95F78">
        <w:rPr>
          <w:szCs w:val="20"/>
        </w:rPr>
        <w:t xml:space="preserve">netic energy lost in braking could alternatively be used </w:t>
      </w:r>
      <w:r w:rsidR="00DE5C81" w:rsidRPr="00C95F78">
        <w:rPr>
          <w:szCs w:val="20"/>
        </w:rPr>
        <w:t>in</w:t>
      </w:r>
      <w:r w:rsidRPr="00C95F78">
        <w:rPr>
          <w:szCs w:val="20"/>
        </w:rPr>
        <w:t xml:space="preserve"> charging a</w:t>
      </w:r>
      <w:r w:rsidR="00DE5C81" w:rsidRPr="00C95F78">
        <w:rPr>
          <w:szCs w:val="20"/>
        </w:rPr>
        <w:t>n ultra-capacitor</w:t>
      </w:r>
      <w:r w:rsidRPr="00C95F78">
        <w:rPr>
          <w:szCs w:val="20"/>
        </w:rPr>
        <w:t xml:space="preserve"> for electric launch assist, storing hydraulic power or for powering flywheels. In the case of flywheels, Kinetic Energy Recovery Systems (KERS) are being looked at seriously by manufacturers and suppliers. The potential for application of the technology in passenger vehicles </w:t>
      </w:r>
      <w:r w:rsidR="00DE5C81" w:rsidRPr="00C95F78">
        <w:rPr>
          <w:szCs w:val="20"/>
        </w:rPr>
        <w:t>received</w:t>
      </w:r>
      <w:r w:rsidRPr="00C95F78">
        <w:rPr>
          <w:szCs w:val="20"/>
        </w:rPr>
        <w:t xml:space="preserve"> a boost with the technology becoming mandatory on F1 cars from the 2009 season onwards.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0E6A6B" w:rsidP="00BB1A5E">
      <w:pPr>
        <w:autoSpaceDE w:val="0"/>
        <w:autoSpaceDN w:val="0"/>
        <w:adjustRightInd w:val="0"/>
        <w:spacing w:after="0" w:line="240" w:lineRule="auto"/>
        <w:contextualSpacing/>
        <w:jc w:val="both"/>
        <w:rPr>
          <w:szCs w:val="20"/>
        </w:rPr>
      </w:pPr>
      <w:r w:rsidRPr="00C95F78">
        <w:rPr>
          <w:szCs w:val="20"/>
        </w:rPr>
        <w:t xml:space="preserve">The energy efficiency of a conventional car is only about 20%, with the remaining 80% of its energy being converted to heat through friction. The miraculous thing about regenerative braking is that it may be able to capture as much as half of that wasted energy and put it back to work. This could reduce fuel consumption by 10 to 25%. Hydraulic regenerative braking systems could provide even more impressive gains, potentially reducing fuel use by 25 to 45%. </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DE5C81" w:rsidP="00BB1A5E">
      <w:pPr>
        <w:autoSpaceDE w:val="0"/>
        <w:autoSpaceDN w:val="0"/>
        <w:adjustRightInd w:val="0"/>
        <w:spacing w:after="0" w:line="240" w:lineRule="auto"/>
        <w:contextualSpacing/>
        <w:jc w:val="both"/>
        <w:rPr>
          <w:szCs w:val="20"/>
        </w:rPr>
      </w:pPr>
      <w:r w:rsidRPr="00C95F78">
        <w:rPr>
          <w:szCs w:val="20"/>
        </w:rPr>
        <w:t>As well as providing fuel efficiency, regenerative braking in ICE vehicles is likely to have a positive impact on copper (despite the intrinsically low contribution from flywheels and ultra-capacitors)</w:t>
      </w:r>
      <w:r w:rsidR="000F56A4" w:rsidRPr="00C95F78">
        <w:rPr>
          <w:szCs w:val="20"/>
        </w:rPr>
        <w:t xml:space="preserve"> </w:t>
      </w:r>
      <w:r w:rsidRPr="00C95F78">
        <w:rPr>
          <w:szCs w:val="20"/>
        </w:rPr>
        <w:t xml:space="preserve">through small amounts of additional copper in wiring and electronics. We see this as contributing a market of around 10 kt </w:t>
      </w:r>
      <w:r w:rsidR="00D60199" w:rsidRPr="00C95F78">
        <w:rPr>
          <w:szCs w:val="20"/>
        </w:rPr>
        <w:t xml:space="preserve">of copper </w:t>
      </w:r>
      <w:r w:rsidRPr="00C95F78">
        <w:rPr>
          <w:szCs w:val="20"/>
        </w:rPr>
        <w:t>by 2020.</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DE5C81" w:rsidP="00BB1A5E">
      <w:pPr>
        <w:autoSpaceDE w:val="0"/>
        <w:autoSpaceDN w:val="0"/>
        <w:adjustRightInd w:val="0"/>
        <w:spacing w:after="0" w:line="240" w:lineRule="auto"/>
        <w:contextualSpacing/>
        <w:jc w:val="both"/>
        <w:rPr>
          <w:szCs w:val="20"/>
        </w:rPr>
      </w:pPr>
      <w:r w:rsidRPr="00C95F78">
        <w:rPr>
          <w:b/>
          <w:szCs w:val="20"/>
        </w:rPr>
        <w:t xml:space="preserve">Alternative Transmission Systems: </w:t>
      </w:r>
      <w:r w:rsidRPr="00C95F78">
        <w:rPr>
          <w:szCs w:val="20"/>
        </w:rPr>
        <w:t xml:space="preserve">From the above, it is clear that ICE vehicles are very inefficient converters of energy into power. One major area of loss is in the transmission system. Increasingly, we are seeing greater use of sensors and direct management to ensure efficient changes in gearing and driving patterns. It could be that this could be taken a leap forward with electromagnetic transmission, dispensing with the need for the gearbox altogether. </w:t>
      </w:r>
      <w:r w:rsidR="004E1801" w:rsidRPr="00C95F78">
        <w:rPr>
          <w:szCs w:val="20"/>
        </w:rPr>
        <w:t xml:space="preserve">Such </w:t>
      </w:r>
      <w:r w:rsidRPr="00C95F78">
        <w:rPr>
          <w:szCs w:val="20"/>
        </w:rPr>
        <w:t>a prospect, however, is still on the drawing board rather than in the realms of reality.</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D41CE" w:rsidP="00BB1A5E">
      <w:pPr>
        <w:autoSpaceDE w:val="0"/>
        <w:autoSpaceDN w:val="0"/>
        <w:adjustRightInd w:val="0"/>
        <w:spacing w:after="0" w:line="240" w:lineRule="auto"/>
        <w:contextualSpacing/>
        <w:jc w:val="both"/>
        <w:rPr>
          <w:szCs w:val="20"/>
        </w:rPr>
      </w:pPr>
      <w:r w:rsidRPr="00C95F78">
        <w:rPr>
          <w:b/>
          <w:szCs w:val="20"/>
        </w:rPr>
        <w:t>Wiring Harnesses:</w:t>
      </w:r>
      <w:r w:rsidRPr="00C95F78">
        <w:rPr>
          <w:szCs w:val="20"/>
        </w:rPr>
        <w:t xml:space="preserve"> Technical development in wiring harnesses is ongoing, and generally negative for copper. Over the next decade there will undoubtedly be some additional penetration by aluminium, especially in signal applications in protected under floor areas and in battery cable. Copper clad aluminium may gain favour more generally. Apart from this, we may expect to see a steady reduction in wire diameter (resulting both from reduced conductor size and thinner insulation),</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0C4F61" w:rsidP="00BB1A5E">
      <w:pPr>
        <w:autoSpaceDE w:val="0"/>
        <w:autoSpaceDN w:val="0"/>
        <w:adjustRightInd w:val="0"/>
        <w:spacing w:after="0" w:line="240" w:lineRule="auto"/>
        <w:contextualSpacing/>
        <w:jc w:val="both"/>
        <w:rPr>
          <w:szCs w:val="20"/>
        </w:rPr>
      </w:pPr>
      <w:r w:rsidRPr="00C95F78">
        <w:rPr>
          <w:szCs w:val="20"/>
        </w:rPr>
        <w:t>W</w:t>
      </w:r>
      <w:r w:rsidR="005D41CE" w:rsidRPr="00C95F78">
        <w:rPr>
          <w:szCs w:val="20"/>
        </w:rPr>
        <w:t xml:space="preserve">hile the trend is negative, particular new markets will grow substantially to allow the overall negative trend. </w:t>
      </w:r>
      <w:r w:rsidR="00B12CC7" w:rsidRPr="00BC7D22">
        <w:rPr>
          <w:szCs w:val="20"/>
        </w:rPr>
        <w:t xml:space="preserve">Rather than pure copper, we may expect the </w:t>
      </w:r>
      <w:r w:rsidR="00BC7D22" w:rsidRPr="00BC7D22">
        <w:rPr>
          <w:szCs w:val="20"/>
        </w:rPr>
        <w:t>trend towards</w:t>
      </w:r>
      <w:r w:rsidR="00B12CC7" w:rsidRPr="00BC7D22">
        <w:rPr>
          <w:szCs w:val="20"/>
        </w:rPr>
        <w:t xml:space="preserve"> fine wires with high tensile strength to </w:t>
      </w:r>
      <w:r w:rsidR="00BC7D22" w:rsidRPr="00BC7D22">
        <w:rPr>
          <w:szCs w:val="20"/>
        </w:rPr>
        <w:t>bring about the use of</w:t>
      </w:r>
      <w:r w:rsidR="00B12CC7" w:rsidRPr="00BC7D22">
        <w:rPr>
          <w:szCs w:val="20"/>
        </w:rPr>
        <w:t xml:space="preserve"> high copper alloys </w:t>
      </w:r>
      <w:r w:rsidR="00BC7D22" w:rsidRPr="00BC7D22">
        <w:rPr>
          <w:szCs w:val="20"/>
        </w:rPr>
        <w:t xml:space="preserve">(possibly with tin) </w:t>
      </w:r>
      <w:r w:rsidR="00B12CC7" w:rsidRPr="00BC7D22">
        <w:rPr>
          <w:szCs w:val="20"/>
        </w:rPr>
        <w:t>as a mainstream conductor material</w:t>
      </w:r>
      <w:r w:rsidR="00BC7D22" w:rsidRPr="00BC7D22">
        <w:rPr>
          <w:szCs w:val="20"/>
        </w:rPr>
        <w:t>,</w:t>
      </w:r>
      <w:r w:rsidR="00B12CC7" w:rsidRPr="00BC7D22">
        <w:rPr>
          <w:szCs w:val="20"/>
        </w:rPr>
        <w:t xml:space="preserve"> rather than </w:t>
      </w:r>
      <w:r w:rsidR="00BC7D22" w:rsidRPr="00BC7D22">
        <w:rPr>
          <w:szCs w:val="20"/>
        </w:rPr>
        <w:t xml:space="preserve">pure </w:t>
      </w:r>
      <w:r w:rsidR="00B12CC7" w:rsidRPr="00BC7D22">
        <w:rPr>
          <w:szCs w:val="20"/>
        </w:rPr>
        <w:t>copper</w:t>
      </w:r>
      <w:r w:rsidR="005D41CE" w:rsidRPr="00BC7D22">
        <w:rPr>
          <w:szCs w:val="20"/>
        </w:rPr>
        <w:t>.</w:t>
      </w:r>
      <w:r w:rsidR="005D41CE" w:rsidRPr="00C95F78">
        <w:rPr>
          <w:szCs w:val="20"/>
        </w:rPr>
        <w:t xml:space="preserve"> At present, high copper alloy wirerod is usually made in small volumes on small wirerod line. It is possible that in the future large wirerod lines of 60 ktpy capacity and above may be dedicated to the production of high copper alloy wire for automotive industry use.</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D41CE" w:rsidP="00BB1A5E">
      <w:pPr>
        <w:autoSpaceDE w:val="0"/>
        <w:autoSpaceDN w:val="0"/>
        <w:adjustRightInd w:val="0"/>
        <w:spacing w:after="0" w:line="240" w:lineRule="auto"/>
        <w:contextualSpacing/>
        <w:jc w:val="both"/>
        <w:rPr>
          <w:szCs w:val="20"/>
        </w:rPr>
      </w:pPr>
      <w:r w:rsidRPr="00C95F78">
        <w:rPr>
          <w:szCs w:val="20"/>
        </w:rPr>
        <w:t xml:space="preserve">Looking at the fine wire sector, at present the automotive industry does not go below 0.13 sq. mm. in its product usage. Furukawa Electric, amongst others, is busy developing much finer wires, in their case of 0.06 sq.mm diameter. </w:t>
      </w:r>
      <w:r w:rsidR="000C4F61" w:rsidRPr="00C95F78">
        <w:rPr>
          <w:szCs w:val="20"/>
        </w:rPr>
        <w:t xml:space="preserve">These will be used under floor or behind the instrument panel. </w:t>
      </w:r>
      <w:r w:rsidR="00074EEC" w:rsidRPr="00C95F78">
        <w:rPr>
          <w:szCs w:val="20"/>
        </w:rPr>
        <w:t>Alongside the use of aluminium alloy wire, Furukawa Electric expects this “Corson Series” wire to reduce automotive wire harness weight by around 12%.</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0C4F61" w:rsidP="00BB1A5E">
      <w:pPr>
        <w:autoSpaceDE w:val="0"/>
        <w:autoSpaceDN w:val="0"/>
        <w:adjustRightInd w:val="0"/>
        <w:spacing w:after="0" w:line="240" w:lineRule="auto"/>
        <w:contextualSpacing/>
        <w:jc w:val="both"/>
        <w:rPr>
          <w:szCs w:val="20"/>
        </w:rPr>
      </w:pPr>
      <w:r w:rsidRPr="00C95F78">
        <w:rPr>
          <w:szCs w:val="20"/>
        </w:rPr>
        <w:t xml:space="preserve">The development of smaller products capable of withstanding higher temperatures </w:t>
      </w:r>
      <w:r w:rsidR="00B12CC7" w:rsidRPr="00C95F78">
        <w:rPr>
          <w:szCs w:val="20"/>
        </w:rPr>
        <w:t>(200</w:t>
      </w:r>
      <w:r w:rsidR="00D60199" w:rsidRPr="00C95F78">
        <w:rPr>
          <w:szCs w:val="20"/>
        </w:rPr>
        <w:t>°</w:t>
      </w:r>
      <w:r w:rsidR="00B12CC7" w:rsidRPr="00C95F78">
        <w:rPr>
          <w:szCs w:val="20"/>
        </w:rPr>
        <w:t xml:space="preserve"> C to 220</w:t>
      </w:r>
      <w:r w:rsidR="00D60199" w:rsidRPr="00C95F78">
        <w:rPr>
          <w:szCs w:val="20"/>
        </w:rPr>
        <w:t>°</w:t>
      </w:r>
      <w:r w:rsidR="00B12CC7" w:rsidRPr="00C95F78">
        <w:rPr>
          <w:szCs w:val="20"/>
        </w:rPr>
        <w:t xml:space="preserve"> C)</w:t>
      </w:r>
      <w:r w:rsidRPr="00C95F78">
        <w:rPr>
          <w:sz w:val="24"/>
          <w:szCs w:val="24"/>
        </w:rPr>
        <w:t xml:space="preserve"> </w:t>
      </w:r>
      <w:r w:rsidRPr="00C95F78">
        <w:rPr>
          <w:szCs w:val="20"/>
        </w:rPr>
        <w:t xml:space="preserve">and more severe thermal cycling means that conductors with higher yield strength will need to be developed. For connectors, the requirement is for improved stress relaxation resistance and greater resistance to oxidisation. For relays and busbars additionally high conductivity needs to be assured, with greater bending workability will be needed on micro-mini terminals. </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5478F6"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Total Impact on Copper</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074EEC" w:rsidP="00BB1A5E">
      <w:pPr>
        <w:spacing w:after="0" w:line="240" w:lineRule="auto"/>
        <w:contextualSpacing/>
        <w:jc w:val="both"/>
      </w:pPr>
      <w:r w:rsidRPr="00C95F78">
        <w:t>Adding the market sectors described above, we anticipate that new markets in the automotive sector should rise from 16 kt in 2010 to 359 kt in 2020. In Europe, the corresponding figures are virtually zero and 70 kt</w:t>
      </w:r>
      <w:r w:rsidR="00D60199" w:rsidRPr="00C95F78">
        <w:t xml:space="preserve"> of copper</w:t>
      </w:r>
      <w:r w:rsidRPr="00C95F78">
        <w:t>.</w:t>
      </w:r>
      <w:r w:rsidR="00CC39FF" w:rsidRPr="00C95F78">
        <w:t xml:space="preserve"> As indicated above, there is a wide range of possibility in the number of alternative vehicles that will hit the market. There is additional uncertainty as to the development of copper content. That being said, we can say with reasonable certainty (say 70%) that the increase in the vehicle market between 2010 and 2020 will range between 250 ktpy and 450 ktpy</w:t>
      </w:r>
      <w:r w:rsidR="00D60199" w:rsidRPr="00C95F78">
        <w:t xml:space="preserve"> of copper</w:t>
      </w:r>
      <w:r w:rsidR="00CC39FF" w:rsidRPr="00C95F78">
        <w:t>.</w:t>
      </w:r>
    </w:p>
    <w:p w:rsidR="005A48E2" w:rsidRPr="00C95F78" w:rsidRDefault="005A48E2" w:rsidP="00BB1A5E">
      <w:pPr>
        <w:spacing w:after="0" w:line="240" w:lineRule="auto"/>
        <w:contextualSpacing/>
        <w:jc w:val="both"/>
      </w:pPr>
    </w:p>
    <w:p w:rsidR="005A48E2" w:rsidRPr="00C95F78" w:rsidRDefault="00CC39FF" w:rsidP="00BB1A5E">
      <w:pPr>
        <w:spacing w:after="0" w:line="240" w:lineRule="auto"/>
        <w:contextualSpacing/>
        <w:jc w:val="both"/>
      </w:pPr>
      <w:r w:rsidRPr="00C95F78">
        <w:t>Major contributions towards this total will come separately from HEVs, PHEVs and BEVs. Contributions from FCEVs and new features in ICE vehicles are expected to be significant.</w:t>
      </w:r>
    </w:p>
    <w:p w:rsidR="005A48E2" w:rsidRPr="00C95F78" w:rsidRDefault="005A48E2" w:rsidP="00BB1A5E">
      <w:pPr>
        <w:spacing w:after="0" w:line="240" w:lineRule="auto"/>
        <w:contextualSpacing/>
        <w:jc w:val="both"/>
      </w:pPr>
    </w:p>
    <w:p w:rsidR="005A48E2" w:rsidRPr="00C95F78" w:rsidRDefault="00571BE3" w:rsidP="00BB1A5E">
      <w:pPr>
        <w:spacing w:after="0" w:line="240" w:lineRule="auto"/>
        <w:contextualSpacing/>
        <w:jc w:val="both"/>
      </w:pPr>
      <w:r w:rsidRPr="00C95F78">
        <w:t>By component group, the biggest contributor is expected to be motors (with 160 ktpy added), with much of the rest coming from HV wiring harnesses (around 70 ktpy). The contribution of batteries, other alternative vehicle markets (especially power semiconductors) and ICE products will also be significant.</w:t>
      </w:r>
    </w:p>
    <w:p w:rsidR="005A48E2" w:rsidRPr="00C95F78" w:rsidRDefault="005A48E2" w:rsidP="00BB1A5E">
      <w:pPr>
        <w:spacing w:after="0" w:line="240" w:lineRule="auto"/>
        <w:contextualSpacing/>
        <w:jc w:val="both"/>
      </w:pPr>
    </w:p>
    <w:p w:rsidR="005A48E2" w:rsidRPr="00C95F78" w:rsidRDefault="00571BE3" w:rsidP="00BB1A5E">
      <w:pPr>
        <w:spacing w:after="0" w:line="240" w:lineRule="auto"/>
        <w:contextualSpacing/>
        <w:jc w:val="both"/>
      </w:pPr>
      <w:r w:rsidRPr="00C95F78">
        <w:t>With this profile of product growth, the main winner is likely to be winding wire, followed by energy cable, then flat rolled products and foil.</w:t>
      </w:r>
    </w:p>
    <w:p w:rsidR="005A48E2" w:rsidRPr="00C95F78" w:rsidRDefault="005A48E2" w:rsidP="00BB1A5E">
      <w:pPr>
        <w:spacing w:after="0" w:line="240" w:lineRule="auto"/>
        <w:contextualSpacing/>
        <w:jc w:val="both"/>
      </w:pPr>
    </w:p>
    <w:p w:rsidR="005A48E2" w:rsidRPr="00C95F78" w:rsidRDefault="00C0032E" w:rsidP="00BB1A5E">
      <w:pPr>
        <w:spacing w:after="0" w:line="240" w:lineRule="auto"/>
        <w:contextualSpacing/>
        <w:jc w:val="both"/>
      </w:pPr>
      <w:r w:rsidRPr="00C95F78">
        <w:t>Details of our forecast consumption by location, vehicle type, product group and fabricated product are given in the following pages.</w:t>
      </w:r>
    </w:p>
    <w:p w:rsidR="005A48E2" w:rsidRPr="00C95F78" w:rsidRDefault="005A48E2" w:rsidP="00BB1A5E">
      <w:pPr>
        <w:autoSpaceDE w:val="0"/>
        <w:autoSpaceDN w:val="0"/>
        <w:adjustRightInd w:val="0"/>
        <w:spacing w:after="0" w:line="240" w:lineRule="auto"/>
        <w:contextualSpacing/>
        <w:jc w:val="both"/>
        <w:rPr>
          <w:b/>
          <w:szCs w:val="20"/>
        </w:rPr>
      </w:pPr>
    </w:p>
    <w:p w:rsidR="004D6789" w:rsidRPr="00C95F78" w:rsidRDefault="005C01A8"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65" w:name="_Toc263688578"/>
      <w:r w:rsidRPr="00C95F78">
        <w:rPr>
          <w:rFonts w:asciiTheme="minorHAnsi" w:hAnsiTheme="minorHAnsi"/>
          <w:color w:val="365F91" w:themeColor="accent1" w:themeShade="BF"/>
          <w:sz w:val="30"/>
          <w:szCs w:val="30"/>
        </w:rPr>
        <w:t>Railways,</w:t>
      </w:r>
      <w:r w:rsidR="00C0032E" w:rsidRPr="00C95F78">
        <w:rPr>
          <w:rFonts w:asciiTheme="minorHAnsi" w:hAnsiTheme="minorHAnsi"/>
          <w:color w:val="365F91" w:themeColor="accent1" w:themeShade="BF"/>
          <w:sz w:val="30"/>
          <w:szCs w:val="30"/>
        </w:rPr>
        <w:t xml:space="preserve"> Mass Transit Systems</w:t>
      </w:r>
      <w:r w:rsidRPr="00C95F78">
        <w:rPr>
          <w:rFonts w:asciiTheme="minorHAnsi" w:hAnsiTheme="minorHAnsi"/>
          <w:color w:val="365F91" w:themeColor="accent1" w:themeShade="BF"/>
          <w:sz w:val="30"/>
          <w:szCs w:val="30"/>
        </w:rPr>
        <w:t xml:space="preserve"> and the Marine Market</w:t>
      </w:r>
      <w:bookmarkEnd w:id="65"/>
    </w:p>
    <w:p w:rsidR="005A48E2" w:rsidRPr="00C95F78" w:rsidRDefault="005A48E2" w:rsidP="00BB1A5E">
      <w:pPr>
        <w:spacing w:after="0" w:line="240" w:lineRule="auto"/>
        <w:contextualSpacing/>
        <w:jc w:val="both"/>
      </w:pPr>
    </w:p>
    <w:p w:rsidR="005A48E2" w:rsidRPr="00C95F78" w:rsidRDefault="00C0032E" w:rsidP="00BB1A5E">
      <w:pPr>
        <w:spacing w:after="0" w:line="240" w:lineRule="auto"/>
        <w:contextualSpacing/>
        <w:jc w:val="both"/>
      </w:pPr>
      <w:r w:rsidRPr="00C95F78">
        <w:t>The primary new transport markets for copper are in road vehicles. Not only is there far more going on in this market than in others, it is on a totally different scale to other transport markets. That being said, it is worth noting some changes taking place in both the railway / mass transit sector and marine vessels.</w:t>
      </w:r>
    </w:p>
    <w:p w:rsidR="005A48E2" w:rsidRPr="00C95F78" w:rsidRDefault="00C0032E" w:rsidP="00BB1A5E">
      <w:pPr>
        <w:spacing w:after="0" w:line="240" w:lineRule="auto"/>
        <w:contextualSpacing/>
        <w:jc w:val="both"/>
      </w:pPr>
      <w:r w:rsidRPr="00C95F78">
        <w:br w:type="page"/>
      </w:r>
    </w:p>
    <w:p w:rsidR="005A48E2" w:rsidRPr="00C95F78" w:rsidRDefault="00C857C8" w:rsidP="00BB1A5E">
      <w:pPr>
        <w:pStyle w:val="Caption"/>
        <w:contextualSpacing/>
        <w:jc w:val="center"/>
        <w:rPr>
          <w:sz w:val="28"/>
          <w:szCs w:val="28"/>
        </w:rPr>
      </w:pPr>
      <w:bookmarkStart w:id="66" w:name="_Toc26367168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35</w:t>
      </w:r>
      <w:r w:rsidR="00D50FDC" w:rsidRPr="00C95F78">
        <w:rPr>
          <w:sz w:val="28"/>
          <w:szCs w:val="28"/>
        </w:rPr>
        <w:fldChar w:fldCharType="end"/>
      </w:r>
      <w:r w:rsidRPr="00C95F78">
        <w:rPr>
          <w:sz w:val="28"/>
          <w:szCs w:val="28"/>
        </w:rPr>
        <w:t xml:space="preserve">: </w:t>
      </w:r>
      <w:r w:rsidR="00980DAF" w:rsidRPr="00C95F78">
        <w:rPr>
          <w:sz w:val="28"/>
          <w:szCs w:val="28"/>
        </w:rPr>
        <w:t xml:space="preserve">Alternative Vehicle </w:t>
      </w:r>
      <w:r w:rsidR="0015470D" w:rsidRPr="00C95F78">
        <w:rPr>
          <w:sz w:val="28"/>
          <w:szCs w:val="28"/>
        </w:rPr>
        <w:t xml:space="preserve">Incremental </w:t>
      </w:r>
      <w:r w:rsidR="00980DAF" w:rsidRPr="00C95F78">
        <w:rPr>
          <w:sz w:val="28"/>
          <w:szCs w:val="28"/>
        </w:rPr>
        <w:t>Market for Copper (k</w:t>
      </w:r>
      <w:r w:rsidR="0015470D" w:rsidRPr="00C95F78">
        <w:rPr>
          <w:sz w:val="28"/>
          <w:szCs w:val="28"/>
        </w:rPr>
        <w:t>t</w:t>
      </w:r>
      <w:r w:rsidRPr="00C95F78">
        <w:rPr>
          <w:sz w:val="28"/>
          <w:szCs w:val="28"/>
        </w:rPr>
        <w:t xml:space="preserve"> Cu)</w:t>
      </w:r>
      <w:bookmarkEnd w:id="66"/>
    </w:p>
    <w:p w:rsidR="005A48E2" w:rsidRPr="00C95F78" w:rsidRDefault="003B608C" w:rsidP="00BB1A5E">
      <w:pPr>
        <w:spacing w:after="0" w:line="240" w:lineRule="auto"/>
        <w:contextualSpacing/>
        <w:jc w:val="both"/>
      </w:pPr>
      <w:r w:rsidRPr="00C95F78">
        <w:rPr>
          <w:noProof/>
          <w:lang w:val="en-US"/>
        </w:rPr>
        <w:drawing>
          <wp:inline distT="0" distB="0" distL="0" distR="0">
            <wp:extent cx="5831840" cy="2179612"/>
            <wp:effectExtent l="19050" t="0" r="0" b="0"/>
            <wp:docPr id="1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C857C8" w:rsidP="00BB1A5E">
      <w:pPr>
        <w:pStyle w:val="Caption"/>
        <w:contextualSpacing/>
        <w:jc w:val="both"/>
        <w:rPr>
          <w:sz w:val="28"/>
          <w:szCs w:val="28"/>
        </w:rPr>
      </w:pPr>
      <w:bookmarkStart w:id="67" w:name="_Toc26367169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36</w:t>
      </w:r>
      <w:r w:rsidR="00D50FDC" w:rsidRPr="00C95F78">
        <w:rPr>
          <w:sz w:val="28"/>
          <w:szCs w:val="28"/>
        </w:rPr>
        <w:fldChar w:fldCharType="end"/>
      </w:r>
      <w:r w:rsidRPr="00C95F78">
        <w:rPr>
          <w:sz w:val="28"/>
          <w:szCs w:val="28"/>
        </w:rPr>
        <w:t xml:space="preserve">: </w:t>
      </w:r>
      <w:r w:rsidR="00980DAF" w:rsidRPr="00C95F78">
        <w:rPr>
          <w:sz w:val="28"/>
          <w:szCs w:val="28"/>
        </w:rPr>
        <w:t xml:space="preserve">HEV </w:t>
      </w:r>
      <w:r w:rsidR="0015470D" w:rsidRPr="00C95F78">
        <w:rPr>
          <w:sz w:val="28"/>
          <w:szCs w:val="28"/>
        </w:rPr>
        <w:t xml:space="preserve">Incremental </w:t>
      </w:r>
      <w:r w:rsidR="00980DAF" w:rsidRPr="00C95F78">
        <w:rPr>
          <w:sz w:val="28"/>
          <w:szCs w:val="28"/>
        </w:rPr>
        <w:t>Market for Copper (k Cu)</w:t>
      </w:r>
      <w:bookmarkEnd w:id="67"/>
    </w:p>
    <w:p w:rsidR="005A48E2" w:rsidRPr="00C95F78" w:rsidRDefault="00E81BF7" w:rsidP="00BB1A5E">
      <w:pPr>
        <w:spacing w:after="0" w:line="240" w:lineRule="auto"/>
        <w:contextualSpacing/>
        <w:jc w:val="both"/>
      </w:pPr>
      <w:r w:rsidRPr="00C95F78">
        <w:rPr>
          <w:noProof/>
          <w:lang w:val="en-US"/>
        </w:rPr>
        <w:drawing>
          <wp:inline distT="0" distB="0" distL="0" distR="0">
            <wp:extent cx="5831840" cy="2179612"/>
            <wp:effectExtent l="19050" t="0" r="0" b="0"/>
            <wp:docPr id="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Default="005A48E2" w:rsidP="00BB1A5E">
      <w:pPr>
        <w:spacing w:after="0" w:line="240" w:lineRule="auto"/>
        <w:contextualSpacing/>
        <w:jc w:val="both"/>
      </w:pPr>
    </w:p>
    <w:p w:rsidR="00E3629A" w:rsidRPr="00C95F78" w:rsidRDefault="00E3629A" w:rsidP="00BB1A5E">
      <w:pPr>
        <w:spacing w:after="0" w:line="240" w:lineRule="auto"/>
        <w:contextualSpacing/>
        <w:jc w:val="both"/>
      </w:pPr>
    </w:p>
    <w:p w:rsidR="005A48E2" w:rsidRPr="00C95F78" w:rsidRDefault="00C857C8" w:rsidP="00BB1A5E">
      <w:pPr>
        <w:pStyle w:val="Caption"/>
        <w:contextualSpacing/>
        <w:jc w:val="center"/>
        <w:rPr>
          <w:sz w:val="28"/>
          <w:szCs w:val="28"/>
        </w:rPr>
      </w:pPr>
      <w:bookmarkStart w:id="68" w:name="_Toc26367169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37</w:t>
      </w:r>
      <w:r w:rsidR="00D50FDC" w:rsidRPr="00C95F78">
        <w:rPr>
          <w:sz w:val="28"/>
          <w:szCs w:val="28"/>
        </w:rPr>
        <w:fldChar w:fldCharType="end"/>
      </w:r>
      <w:r w:rsidRPr="00C95F78">
        <w:rPr>
          <w:sz w:val="28"/>
          <w:szCs w:val="28"/>
        </w:rPr>
        <w:t xml:space="preserve">: PHEV </w:t>
      </w:r>
      <w:r w:rsidR="0015470D" w:rsidRPr="00C95F78">
        <w:rPr>
          <w:sz w:val="28"/>
          <w:szCs w:val="28"/>
        </w:rPr>
        <w:t xml:space="preserve">Incremental </w:t>
      </w:r>
      <w:r w:rsidRPr="00C95F78">
        <w:rPr>
          <w:sz w:val="28"/>
          <w:szCs w:val="28"/>
        </w:rPr>
        <w:t>Market for Copper (kt Cu)</w:t>
      </w:r>
      <w:bookmarkEnd w:id="68"/>
    </w:p>
    <w:p w:rsidR="005A48E2" w:rsidRPr="00C95F78" w:rsidRDefault="00E81BF7" w:rsidP="00BB1A5E">
      <w:pPr>
        <w:spacing w:after="0" w:line="240" w:lineRule="auto"/>
        <w:contextualSpacing/>
        <w:jc w:val="both"/>
      </w:pPr>
      <w:r w:rsidRPr="00C95F78">
        <w:rPr>
          <w:noProof/>
          <w:lang w:val="en-US"/>
        </w:rPr>
        <w:drawing>
          <wp:inline distT="0" distB="0" distL="0" distR="0">
            <wp:extent cx="5831840" cy="2204453"/>
            <wp:effectExtent l="19050" t="0" r="0" b="0"/>
            <wp:docPr id="1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5831840" cy="2204453"/>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4D6789" w:rsidRPr="00C95F78" w:rsidRDefault="0014773D" w:rsidP="00BB1A5E">
      <w:pPr>
        <w:spacing w:line="240" w:lineRule="auto"/>
        <w:jc w:val="both"/>
      </w:pPr>
      <w:r w:rsidRPr="00C95F78">
        <w:br w:type="page"/>
      </w:r>
    </w:p>
    <w:p w:rsidR="000236FE" w:rsidRPr="00C95F78" w:rsidRDefault="000236FE" w:rsidP="00BB1A5E">
      <w:pPr>
        <w:pStyle w:val="Caption"/>
        <w:contextualSpacing/>
        <w:jc w:val="center"/>
        <w:rPr>
          <w:sz w:val="28"/>
          <w:szCs w:val="28"/>
        </w:rPr>
      </w:pPr>
      <w:bookmarkStart w:id="69" w:name="_Toc26367169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38</w:t>
      </w:r>
      <w:r w:rsidR="00D50FDC" w:rsidRPr="00C95F78">
        <w:rPr>
          <w:sz w:val="28"/>
          <w:szCs w:val="28"/>
        </w:rPr>
        <w:fldChar w:fldCharType="end"/>
      </w:r>
      <w:r w:rsidRPr="00C95F78">
        <w:rPr>
          <w:sz w:val="28"/>
          <w:szCs w:val="28"/>
        </w:rPr>
        <w:t xml:space="preserve">: </w:t>
      </w:r>
      <w:r w:rsidR="0015470D" w:rsidRPr="00C95F78">
        <w:rPr>
          <w:sz w:val="28"/>
          <w:szCs w:val="28"/>
        </w:rPr>
        <w:t>BEV</w:t>
      </w:r>
      <w:r w:rsidRPr="00C95F78">
        <w:rPr>
          <w:sz w:val="28"/>
          <w:szCs w:val="28"/>
        </w:rPr>
        <w:t xml:space="preserve"> </w:t>
      </w:r>
      <w:r w:rsidR="0015470D" w:rsidRPr="00C95F78">
        <w:rPr>
          <w:sz w:val="28"/>
          <w:szCs w:val="28"/>
        </w:rPr>
        <w:t xml:space="preserve">Incremental </w:t>
      </w:r>
      <w:r w:rsidRPr="00C95F78">
        <w:rPr>
          <w:sz w:val="28"/>
          <w:szCs w:val="28"/>
        </w:rPr>
        <w:t>Market for Copper (kt of Cu)</w:t>
      </w:r>
      <w:bookmarkEnd w:id="69"/>
    </w:p>
    <w:p w:rsidR="005A48E2" w:rsidRPr="00C95F78" w:rsidRDefault="00E81BF7" w:rsidP="00BB1A5E">
      <w:pPr>
        <w:spacing w:after="0" w:line="240" w:lineRule="auto"/>
        <w:contextualSpacing/>
        <w:jc w:val="both"/>
      </w:pPr>
      <w:r w:rsidRPr="00C95F78">
        <w:rPr>
          <w:noProof/>
          <w:lang w:val="en-US"/>
        </w:rPr>
        <w:drawing>
          <wp:inline distT="0" distB="0" distL="0" distR="0">
            <wp:extent cx="5831840" cy="2179612"/>
            <wp:effectExtent l="19050" t="0" r="0" b="0"/>
            <wp:docPr id="1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0236FE" w:rsidP="00BB1A5E">
      <w:pPr>
        <w:pStyle w:val="Caption"/>
        <w:contextualSpacing/>
        <w:jc w:val="center"/>
        <w:rPr>
          <w:sz w:val="28"/>
          <w:szCs w:val="28"/>
        </w:rPr>
      </w:pPr>
      <w:bookmarkStart w:id="70" w:name="_Toc26367169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39</w:t>
      </w:r>
      <w:r w:rsidR="00D50FDC" w:rsidRPr="00C95F78">
        <w:rPr>
          <w:sz w:val="28"/>
          <w:szCs w:val="28"/>
        </w:rPr>
        <w:fldChar w:fldCharType="end"/>
      </w:r>
      <w:r w:rsidRPr="00C95F78">
        <w:rPr>
          <w:sz w:val="28"/>
          <w:szCs w:val="28"/>
        </w:rPr>
        <w:t xml:space="preserve">: FCEV </w:t>
      </w:r>
      <w:r w:rsidR="0015470D" w:rsidRPr="00C95F78">
        <w:rPr>
          <w:sz w:val="28"/>
          <w:szCs w:val="28"/>
        </w:rPr>
        <w:t xml:space="preserve">Incremental </w:t>
      </w:r>
      <w:r w:rsidRPr="00C95F78">
        <w:rPr>
          <w:sz w:val="28"/>
          <w:szCs w:val="28"/>
        </w:rPr>
        <w:t>Market for Copper (kt Cu)</w:t>
      </w:r>
      <w:bookmarkEnd w:id="70"/>
    </w:p>
    <w:p w:rsidR="005A48E2" w:rsidRPr="00C95F78" w:rsidRDefault="00E81BF7" w:rsidP="00BB1A5E">
      <w:pPr>
        <w:spacing w:after="0" w:line="240" w:lineRule="auto"/>
        <w:contextualSpacing/>
        <w:jc w:val="both"/>
      </w:pPr>
      <w:r w:rsidRPr="00C95F78">
        <w:rPr>
          <w:noProof/>
          <w:lang w:val="en-US"/>
        </w:rPr>
        <w:drawing>
          <wp:inline distT="0" distB="0" distL="0" distR="0">
            <wp:extent cx="5831840" cy="2179612"/>
            <wp:effectExtent l="19050" t="0" r="0" b="0"/>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0236FE" w:rsidP="00BB1A5E">
      <w:pPr>
        <w:pStyle w:val="Caption"/>
        <w:contextualSpacing/>
        <w:jc w:val="center"/>
        <w:rPr>
          <w:sz w:val="28"/>
          <w:szCs w:val="28"/>
        </w:rPr>
      </w:pPr>
      <w:bookmarkStart w:id="71" w:name="_Toc26367169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40</w:t>
      </w:r>
      <w:r w:rsidR="00D50FDC" w:rsidRPr="00C95F78">
        <w:rPr>
          <w:sz w:val="28"/>
          <w:szCs w:val="28"/>
        </w:rPr>
        <w:fldChar w:fldCharType="end"/>
      </w:r>
      <w:r w:rsidRPr="00C95F78">
        <w:rPr>
          <w:sz w:val="28"/>
          <w:szCs w:val="28"/>
        </w:rPr>
        <w:t xml:space="preserve">: Enhanced ICV </w:t>
      </w:r>
      <w:r w:rsidR="0015470D" w:rsidRPr="00C95F78">
        <w:rPr>
          <w:sz w:val="28"/>
          <w:szCs w:val="28"/>
        </w:rPr>
        <w:t xml:space="preserve">Incremental </w:t>
      </w:r>
      <w:r w:rsidRPr="00C95F78">
        <w:rPr>
          <w:sz w:val="28"/>
          <w:szCs w:val="28"/>
        </w:rPr>
        <w:t>Market for Copper (kt Cu)</w:t>
      </w:r>
      <w:bookmarkEnd w:id="71"/>
    </w:p>
    <w:p w:rsidR="005A48E2" w:rsidRPr="00C95F78" w:rsidRDefault="00E81BF7" w:rsidP="00BB1A5E">
      <w:pPr>
        <w:spacing w:after="0" w:line="240" w:lineRule="auto"/>
        <w:contextualSpacing/>
        <w:jc w:val="both"/>
      </w:pPr>
      <w:r w:rsidRPr="00C95F78">
        <w:rPr>
          <w:noProof/>
          <w:lang w:val="en-US"/>
        </w:rPr>
        <w:drawing>
          <wp:inline distT="0" distB="0" distL="0" distR="0">
            <wp:extent cx="5831840" cy="2204453"/>
            <wp:effectExtent l="19050" t="0" r="0" b="0"/>
            <wp:docPr id="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5831840" cy="2204453"/>
                    </a:xfrm>
                    <a:prstGeom prst="rect">
                      <a:avLst/>
                    </a:prstGeom>
                    <a:noFill/>
                    <a:ln w="9525">
                      <a:noFill/>
                      <a:miter lim="800000"/>
                      <a:headEnd/>
                      <a:tailEnd/>
                    </a:ln>
                  </pic:spPr>
                </pic:pic>
              </a:graphicData>
            </a:graphic>
          </wp:inline>
        </w:drawing>
      </w:r>
    </w:p>
    <w:p w:rsidR="004D6789" w:rsidRPr="00C95F78" w:rsidRDefault="00980DAF" w:rsidP="00BB1A5E">
      <w:pPr>
        <w:spacing w:line="240" w:lineRule="auto"/>
        <w:jc w:val="both"/>
      </w:pPr>
      <w:r w:rsidRPr="00C95F78">
        <w:br w:type="page"/>
      </w:r>
    </w:p>
    <w:p w:rsidR="00A87884" w:rsidRPr="00C95F78" w:rsidRDefault="00A87884" w:rsidP="00BB1A5E">
      <w:pPr>
        <w:pStyle w:val="Caption"/>
        <w:contextualSpacing/>
        <w:jc w:val="center"/>
        <w:rPr>
          <w:sz w:val="28"/>
          <w:szCs w:val="28"/>
        </w:rPr>
      </w:pPr>
      <w:bookmarkStart w:id="72" w:name="_Toc26367169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41</w:t>
      </w:r>
      <w:r w:rsidR="00D50FDC" w:rsidRPr="00C95F78">
        <w:rPr>
          <w:sz w:val="28"/>
          <w:szCs w:val="28"/>
        </w:rPr>
        <w:fldChar w:fldCharType="end"/>
      </w:r>
      <w:r w:rsidRPr="00C95F78">
        <w:rPr>
          <w:sz w:val="28"/>
          <w:szCs w:val="28"/>
        </w:rPr>
        <w:t xml:space="preserve">: Incremental Vehicle Market </w:t>
      </w:r>
      <w:r w:rsidR="00161F71" w:rsidRPr="00C95F78">
        <w:rPr>
          <w:sz w:val="28"/>
          <w:szCs w:val="28"/>
        </w:rPr>
        <w:t xml:space="preserve">for Copper </w:t>
      </w:r>
      <w:r w:rsidRPr="00C95F78">
        <w:rPr>
          <w:sz w:val="28"/>
          <w:szCs w:val="28"/>
        </w:rPr>
        <w:t>by Vehicle Type (kt Cu)</w:t>
      </w:r>
      <w:bookmarkEnd w:id="72"/>
    </w:p>
    <w:p w:rsidR="005A48E2" w:rsidRPr="00C95F78" w:rsidRDefault="00E81BF7" w:rsidP="00BB1A5E">
      <w:pPr>
        <w:spacing w:after="0" w:line="240" w:lineRule="auto"/>
        <w:jc w:val="both"/>
      </w:pPr>
      <w:r w:rsidRPr="00C95F78">
        <w:rPr>
          <w:noProof/>
          <w:lang w:val="en-US"/>
        </w:rPr>
        <w:drawing>
          <wp:inline distT="0" distB="0" distL="0" distR="0">
            <wp:extent cx="5831840" cy="2878116"/>
            <wp:effectExtent l="19050" t="0" r="0" b="0"/>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5831840" cy="2878116"/>
                    </a:xfrm>
                    <a:prstGeom prst="rect">
                      <a:avLst/>
                    </a:prstGeom>
                    <a:noFill/>
                    <a:ln w="9525">
                      <a:noFill/>
                      <a:miter lim="800000"/>
                      <a:headEnd/>
                      <a:tailEnd/>
                    </a:ln>
                  </pic:spPr>
                </pic:pic>
              </a:graphicData>
            </a:graphic>
          </wp:inline>
        </w:drawing>
      </w:r>
    </w:p>
    <w:p w:rsidR="004D6789" w:rsidRPr="00C95F78" w:rsidRDefault="004D6789" w:rsidP="00BB1A5E">
      <w:pPr>
        <w:spacing w:line="240" w:lineRule="auto"/>
        <w:jc w:val="both"/>
      </w:pPr>
    </w:p>
    <w:p w:rsidR="004D6789" w:rsidRPr="00C95F78" w:rsidRDefault="004D6789" w:rsidP="00BB1A5E">
      <w:pPr>
        <w:spacing w:line="240" w:lineRule="auto"/>
        <w:jc w:val="both"/>
      </w:pPr>
    </w:p>
    <w:p w:rsidR="00A87884" w:rsidRPr="00C95F78" w:rsidRDefault="00A87884" w:rsidP="00BB1A5E">
      <w:pPr>
        <w:pStyle w:val="Caption"/>
        <w:contextualSpacing/>
        <w:jc w:val="center"/>
        <w:rPr>
          <w:sz w:val="28"/>
          <w:szCs w:val="28"/>
        </w:rPr>
      </w:pPr>
      <w:bookmarkStart w:id="73" w:name="_Toc26367169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42</w:t>
      </w:r>
      <w:r w:rsidR="00D50FDC" w:rsidRPr="00C95F78">
        <w:rPr>
          <w:sz w:val="28"/>
          <w:szCs w:val="28"/>
        </w:rPr>
        <w:fldChar w:fldCharType="end"/>
      </w:r>
      <w:r w:rsidRPr="00C95F78">
        <w:rPr>
          <w:sz w:val="28"/>
          <w:szCs w:val="28"/>
        </w:rPr>
        <w:t xml:space="preserve">: Incremental Vehicle Market </w:t>
      </w:r>
      <w:r w:rsidR="00161F71" w:rsidRPr="00C95F78">
        <w:rPr>
          <w:sz w:val="28"/>
          <w:szCs w:val="28"/>
        </w:rPr>
        <w:t xml:space="preserve">for Copper </w:t>
      </w:r>
      <w:r w:rsidRPr="00C95F78">
        <w:rPr>
          <w:sz w:val="28"/>
          <w:szCs w:val="28"/>
        </w:rPr>
        <w:t>by Component Group (kt Cu)</w:t>
      </w:r>
      <w:bookmarkEnd w:id="73"/>
    </w:p>
    <w:p w:rsidR="004D6789" w:rsidRPr="00C95F78" w:rsidRDefault="00E81BF7" w:rsidP="00BB1A5E">
      <w:pPr>
        <w:spacing w:line="240" w:lineRule="auto"/>
        <w:jc w:val="both"/>
      </w:pPr>
      <w:r w:rsidRPr="00C95F78">
        <w:rPr>
          <w:noProof/>
          <w:lang w:val="en-US"/>
        </w:rPr>
        <w:drawing>
          <wp:inline distT="0" distB="0" distL="0" distR="0">
            <wp:extent cx="5831840" cy="2878116"/>
            <wp:effectExtent l="1905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5831840" cy="2878116"/>
                    </a:xfrm>
                    <a:prstGeom prst="rect">
                      <a:avLst/>
                    </a:prstGeom>
                    <a:noFill/>
                    <a:ln w="9525">
                      <a:noFill/>
                      <a:miter lim="800000"/>
                      <a:headEnd/>
                      <a:tailEnd/>
                    </a:ln>
                  </pic:spPr>
                </pic:pic>
              </a:graphicData>
            </a:graphic>
          </wp:inline>
        </w:drawing>
      </w:r>
    </w:p>
    <w:p w:rsidR="004D6789" w:rsidRPr="00C95F78" w:rsidRDefault="004D6789" w:rsidP="00BB1A5E">
      <w:pPr>
        <w:spacing w:line="240" w:lineRule="auto"/>
        <w:jc w:val="both"/>
      </w:pPr>
    </w:p>
    <w:p w:rsidR="004D6789" w:rsidRPr="00C95F78" w:rsidRDefault="00A87884" w:rsidP="00BB1A5E">
      <w:pPr>
        <w:spacing w:line="240" w:lineRule="auto"/>
        <w:jc w:val="both"/>
        <w:rPr>
          <w:b/>
          <w:bCs/>
          <w:color w:val="4F81BD" w:themeColor="accent1"/>
          <w:sz w:val="28"/>
          <w:szCs w:val="28"/>
        </w:rPr>
      </w:pPr>
      <w:r w:rsidRPr="00C95F78">
        <w:rPr>
          <w:sz w:val="28"/>
          <w:szCs w:val="28"/>
        </w:rPr>
        <w:br w:type="page"/>
      </w:r>
    </w:p>
    <w:p w:rsidR="00CA4626" w:rsidRPr="00C95F78" w:rsidRDefault="00CA4626" w:rsidP="00BB1A5E">
      <w:pPr>
        <w:pStyle w:val="Caption"/>
        <w:contextualSpacing/>
        <w:jc w:val="center"/>
        <w:rPr>
          <w:sz w:val="28"/>
          <w:szCs w:val="28"/>
        </w:rPr>
      </w:pPr>
      <w:bookmarkStart w:id="74" w:name="_Toc26367169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43</w:t>
      </w:r>
      <w:r w:rsidR="00D50FDC" w:rsidRPr="00C95F78">
        <w:rPr>
          <w:sz w:val="28"/>
          <w:szCs w:val="28"/>
        </w:rPr>
        <w:fldChar w:fldCharType="end"/>
      </w:r>
      <w:r w:rsidRPr="00C95F78">
        <w:rPr>
          <w:sz w:val="28"/>
          <w:szCs w:val="28"/>
        </w:rPr>
        <w:t xml:space="preserve">: </w:t>
      </w:r>
      <w:r w:rsidR="00980DAF" w:rsidRPr="00C95F78">
        <w:rPr>
          <w:sz w:val="28"/>
          <w:szCs w:val="28"/>
        </w:rPr>
        <w:t xml:space="preserve">Incremental Vehicle Market </w:t>
      </w:r>
      <w:r w:rsidR="00161F71" w:rsidRPr="00C95F78">
        <w:rPr>
          <w:sz w:val="28"/>
          <w:szCs w:val="28"/>
        </w:rPr>
        <w:t xml:space="preserve">for Cu </w:t>
      </w:r>
      <w:r w:rsidR="00980DAF" w:rsidRPr="00C95F78">
        <w:rPr>
          <w:sz w:val="28"/>
          <w:szCs w:val="28"/>
        </w:rPr>
        <w:t>by Fabricated Product</w:t>
      </w:r>
      <w:r w:rsidRPr="00C95F78">
        <w:rPr>
          <w:sz w:val="28"/>
          <w:szCs w:val="28"/>
        </w:rPr>
        <w:t xml:space="preserve"> (kt of Cu)</w:t>
      </w:r>
      <w:bookmarkEnd w:id="74"/>
    </w:p>
    <w:p w:rsidR="005A48E2" w:rsidRPr="00C95F78" w:rsidRDefault="00E81BF7" w:rsidP="00BB1A5E">
      <w:pPr>
        <w:spacing w:after="0" w:line="240" w:lineRule="auto"/>
        <w:contextualSpacing/>
        <w:jc w:val="both"/>
      </w:pPr>
      <w:r w:rsidRPr="00C95F78">
        <w:rPr>
          <w:noProof/>
          <w:lang w:val="en-US"/>
        </w:rPr>
        <w:drawing>
          <wp:inline distT="0" distB="0" distL="0" distR="0">
            <wp:extent cx="5831840" cy="3266234"/>
            <wp:effectExtent l="19050" t="0" r="0" b="0"/>
            <wp:docPr id="1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5831840" cy="3266234"/>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0C4F61" w:rsidP="00BB1A5E">
      <w:pPr>
        <w:spacing w:after="0" w:line="240" w:lineRule="auto"/>
        <w:contextualSpacing/>
        <w:jc w:val="both"/>
      </w:pPr>
      <w:r w:rsidRPr="00C95F78">
        <w:t>In comparison with road vehicles, which mainly use a very similar technology, the railway and mass transit sector is rich in alternative technologies. Diesel, “hybrid” (diesel electric) and fully electric systems are all well represented in this sector. Regenerative braking, comparatively new in the automotive sector, is already well established in the rail and mass transit system sector. There are commercial applications of entirely new technologies, such as the magnetic levitation (Maglev) mass transit systems. The Maglev system, in particular, however, is not proving to be a commercial proposition.</w:t>
      </w:r>
    </w:p>
    <w:p w:rsidR="005A48E2" w:rsidRPr="00C95F78" w:rsidRDefault="005A48E2" w:rsidP="00BB1A5E">
      <w:pPr>
        <w:spacing w:after="0" w:line="240" w:lineRule="auto"/>
        <w:contextualSpacing/>
        <w:jc w:val="both"/>
      </w:pPr>
    </w:p>
    <w:p w:rsidR="005A48E2" w:rsidRPr="00C95F78" w:rsidRDefault="005C01A8" w:rsidP="00BB1A5E">
      <w:pPr>
        <w:spacing w:after="0" w:line="240" w:lineRule="auto"/>
        <w:contextualSpacing/>
        <w:jc w:val="both"/>
      </w:pPr>
      <w:r w:rsidRPr="00C95F78">
        <w:t>What we are likely to see is a gradual shift towards cleaner and less power hungry technologies. Pure diesel trains are losing ground to electric or hybrid alternatives.</w:t>
      </w:r>
      <w:r w:rsidR="00A2472C" w:rsidRPr="00C95F78">
        <w:t xml:space="preserve"> Electric trains are the most expensive alternative, and appropriate to main lines, but the trolley wire or third rail pick up is not necessarily affordable throughout an entire rail network. </w:t>
      </w:r>
      <w:r w:rsidR="003D6FEE" w:rsidRPr="00C95F78">
        <w:t>Where this is absent, or the train goes beyond the electric infrastructure, then the diesel engine is needed.</w:t>
      </w:r>
    </w:p>
    <w:p w:rsidR="005A48E2" w:rsidRPr="00C95F78" w:rsidRDefault="005A48E2" w:rsidP="00BB1A5E">
      <w:pPr>
        <w:spacing w:after="0" w:line="240" w:lineRule="auto"/>
        <w:contextualSpacing/>
        <w:jc w:val="both"/>
      </w:pPr>
    </w:p>
    <w:p w:rsidR="005A48E2" w:rsidRPr="00C95F78" w:rsidRDefault="003D6FEE" w:rsidP="00BB1A5E">
      <w:pPr>
        <w:spacing w:after="0" w:line="240" w:lineRule="auto"/>
        <w:contextualSpacing/>
        <w:jc w:val="both"/>
      </w:pPr>
      <w:r w:rsidRPr="00C95F78">
        <w:t>In the UK, a fleet of new diesel-powered “super express” trains, with a hybrid option, is being introduced to replace the existing 20 to 30-year-old Intercity 125s currently being used on Great Western and East Coast main lines. These will replace purely diesel trains, but may mean a delay to the introduction of purely electric trains.</w:t>
      </w:r>
    </w:p>
    <w:p w:rsidR="005A48E2" w:rsidRPr="00C95F78" w:rsidRDefault="005A48E2" w:rsidP="00BB1A5E">
      <w:pPr>
        <w:spacing w:after="0" w:line="240" w:lineRule="auto"/>
        <w:contextualSpacing/>
        <w:jc w:val="both"/>
      </w:pPr>
    </w:p>
    <w:p w:rsidR="005A48E2" w:rsidRPr="00C95F78" w:rsidRDefault="003D6FEE" w:rsidP="00BB1A5E">
      <w:pPr>
        <w:spacing w:after="0" w:line="240" w:lineRule="auto"/>
        <w:contextualSpacing/>
        <w:jc w:val="both"/>
      </w:pPr>
      <w:r w:rsidRPr="00C95F78">
        <w:t>Current diesel electric trains are not all particularly efficient. In Japan, Japan Rail has introduced a few</w:t>
      </w:r>
      <w:r w:rsidR="00BE7DEB" w:rsidRPr="00C95F78">
        <w:t xml:space="preserve"> “E200” trains that combine a super-efficient diesel engine with an electric motor powered by a li-ion battery, recharged through regenerative braking. Hailed by some as the train of the future, at Yen 180 million the E200 is a very expensive alternat</w:t>
      </w:r>
      <w:r w:rsidR="00CE7319" w:rsidRPr="00C95F78">
        <w:t>ive to conventional locomotive</w:t>
      </w:r>
      <w:r w:rsidR="00BE7DEB" w:rsidRPr="00C95F78">
        <w:t>.</w:t>
      </w:r>
    </w:p>
    <w:p w:rsidR="005A48E2" w:rsidRPr="00C95F78" w:rsidRDefault="005A48E2" w:rsidP="00BB1A5E">
      <w:pPr>
        <w:spacing w:after="0" w:line="240" w:lineRule="auto"/>
        <w:contextualSpacing/>
        <w:jc w:val="both"/>
      </w:pPr>
    </w:p>
    <w:p w:rsidR="005A48E2" w:rsidRPr="00C95F78" w:rsidRDefault="00BE7DEB" w:rsidP="00BB1A5E">
      <w:pPr>
        <w:spacing w:after="0" w:line="240" w:lineRule="auto"/>
        <w:contextualSpacing/>
        <w:jc w:val="both"/>
      </w:pPr>
      <w:r w:rsidRPr="00C95F78">
        <w:t>In comparison with rail, there is relatively little development of any excitement in marine vessels. Most are powered by oil-based fuels, although there have been diesel electric vessels around for many years. There has been technology development in the area of pure electric drives, even powered by using superconductors. Such developments, however, are still at prototype stage, or the preserve of the military.</w:t>
      </w:r>
      <w:r w:rsidR="00980DAF" w:rsidRPr="00C95F78">
        <w:br w:type="page"/>
      </w:r>
    </w:p>
    <w:p w:rsidR="004D6789" w:rsidRPr="00C95F78" w:rsidRDefault="000D06DF" w:rsidP="00BB1A5E">
      <w:pPr>
        <w:pStyle w:val="Heading1"/>
        <w:numPr>
          <w:ilvl w:val="0"/>
          <w:numId w:val="1"/>
        </w:numPr>
        <w:spacing w:before="0" w:line="240" w:lineRule="auto"/>
        <w:ind w:left="0"/>
        <w:contextualSpacing/>
        <w:jc w:val="center"/>
        <w:rPr>
          <w:rFonts w:asciiTheme="minorHAnsi" w:hAnsiTheme="minorHAnsi"/>
          <w:sz w:val="36"/>
          <w:szCs w:val="36"/>
        </w:rPr>
      </w:pPr>
      <w:bookmarkStart w:id="75" w:name="_Toc263688579"/>
      <w:r>
        <w:rPr>
          <w:rFonts w:asciiTheme="minorHAnsi" w:hAnsiTheme="minorHAnsi"/>
          <w:sz w:val="36"/>
          <w:szCs w:val="36"/>
        </w:rPr>
        <w:t>Energy</w:t>
      </w:r>
      <w:r w:rsidR="00100E3B" w:rsidRPr="00C95F78">
        <w:rPr>
          <w:rFonts w:asciiTheme="minorHAnsi" w:hAnsiTheme="minorHAnsi"/>
          <w:sz w:val="36"/>
          <w:szCs w:val="36"/>
        </w:rPr>
        <w:t xml:space="preserve"> Infrast</w:t>
      </w:r>
      <w:r w:rsidR="001E5888" w:rsidRPr="00C95F78">
        <w:rPr>
          <w:rFonts w:asciiTheme="minorHAnsi" w:hAnsiTheme="minorHAnsi"/>
          <w:sz w:val="36"/>
          <w:szCs w:val="36"/>
        </w:rPr>
        <w:t>ru</w:t>
      </w:r>
      <w:r w:rsidR="00100E3B" w:rsidRPr="00C95F78">
        <w:rPr>
          <w:rFonts w:asciiTheme="minorHAnsi" w:hAnsiTheme="minorHAnsi"/>
          <w:sz w:val="36"/>
          <w:szCs w:val="36"/>
        </w:rPr>
        <w:t>cture</w:t>
      </w:r>
      <w:bookmarkEnd w:id="75"/>
    </w:p>
    <w:p w:rsidR="005A48E2" w:rsidRPr="00C95F78" w:rsidRDefault="005A48E2" w:rsidP="00BB1A5E">
      <w:pPr>
        <w:spacing w:after="0" w:line="240" w:lineRule="auto"/>
        <w:contextualSpacing/>
        <w:jc w:val="both"/>
      </w:pPr>
    </w:p>
    <w:p w:rsidR="004D6789" w:rsidRPr="00C95F78" w:rsidRDefault="00A44342"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76" w:name="_Toc263688580"/>
      <w:r w:rsidRPr="00C95F78">
        <w:rPr>
          <w:rFonts w:asciiTheme="minorHAnsi" w:hAnsiTheme="minorHAnsi"/>
          <w:color w:val="365F91" w:themeColor="accent1" w:themeShade="BF"/>
          <w:sz w:val="30"/>
          <w:szCs w:val="30"/>
        </w:rPr>
        <w:t>Market Summary</w:t>
      </w:r>
      <w:bookmarkEnd w:id="76"/>
    </w:p>
    <w:p w:rsidR="005A48E2" w:rsidRDefault="005A48E2" w:rsidP="00BB1A5E">
      <w:pPr>
        <w:spacing w:after="0" w:line="240" w:lineRule="auto"/>
        <w:contextualSpacing/>
        <w:jc w:val="both"/>
      </w:pPr>
    </w:p>
    <w:p w:rsidR="000D06DF" w:rsidRDefault="000D06DF" w:rsidP="00BB1A5E">
      <w:pPr>
        <w:spacing w:after="0" w:line="240" w:lineRule="auto"/>
        <w:contextualSpacing/>
        <w:jc w:val="both"/>
      </w:pPr>
      <w:r>
        <w:t>In Section 1 we identified the fact that re-forming our energy infrastructure is a central trend in society’s development. This affects both the way we generate energy and the amount and form in which we use it. By this means we hope to both greatly reduce greenhouse emissions and conserve finite energy resources.</w:t>
      </w:r>
    </w:p>
    <w:p w:rsidR="000D06DF" w:rsidRDefault="000D06DF" w:rsidP="00BB1A5E">
      <w:pPr>
        <w:spacing w:after="0" w:line="240" w:lineRule="auto"/>
        <w:contextualSpacing/>
        <w:jc w:val="both"/>
      </w:pPr>
    </w:p>
    <w:p w:rsidR="00534348" w:rsidRDefault="000D06DF" w:rsidP="00BB1A5E">
      <w:pPr>
        <w:spacing w:after="0" w:line="240" w:lineRule="auto"/>
        <w:contextualSpacing/>
        <w:jc w:val="both"/>
      </w:pPr>
      <w:r>
        <w:t>In this Section, we look primarily at the new markets for copper created by changes in the way we generate energy. The focus is first of all on the use of renewable sources of electricity generation, primarily wind and solar</w:t>
      </w:r>
      <w:r w:rsidR="00FF2C6C">
        <w:t xml:space="preserve"> PV, but also at others such as solar concentration and marine</w:t>
      </w:r>
      <w:r>
        <w:t xml:space="preserve">. </w:t>
      </w:r>
      <w:r w:rsidR="00534348">
        <w:t xml:space="preserve">While both </w:t>
      </w:r>
      <w:r w:rsidR="00FF2C6C">
        <w:t>wind and solar PV</w:t>
      </w:r>
      <w:r w:rsidR="00534348">
        <w:t xml:space="preserve"> may be considered to have reached the status of established markets, some of the submarkets within these sectors are currently small and set to become much larger, so fall under our definition of emerging markets.</w:t>
      </w:r>
    </w:p>
    <w:p w:rsidR="00534348" w:rsidRDefault="00534348" w:rsidP="00BB1A5E">
      <w:pPr>
        <w:spacing w:after="0" w:line="240" w:lineRule="auto"/>
        <w:contextualSpacing/>
        <w:jc w:val="both"/>
      </w:pPr>
    </w:p>
    <w:p w:rsidR="000D06DF" w:rsidRDefault="000D06DF" w:rsidP="00BB1A5E">
      <w:pPr>
        <w:spacing w:after="0" w:line="240" w:lineRule="auto"/>
        <w:contextualSpacing/>
        <w:jc w:val="both"/>
      </w:pPr>
      <w:r>
        <w:t xml:space="preserve">While looking mainly at electricity generation, we also consider the implications of the increased capture of heat from renewable sources, primarily the sun. Additionally, </w:t>
      </w:r>
      <w:r w:rsidR="00534348">
        <w:t>we look at desalination, a major user of electricity and a market driven by another of society’s mega-trends – the need to provide water for a growing and increasingly urbanised population. In particular, we look at renewable energy sourcing in desalination.</w:t>
      </w:r>
    </w:p>
    <w:p w:rsidR="00534348" w:rsidRDefault="00534348" w:rsidP="00BB1A5E">
      <w:pPr>
        <w:spacing w:after="0" w:line="240" w:lineRule="auto"/>
        <w:contextualSpacing/>
        <w:jc w:val="both"/>
      </w:pPr>
    </w:p>
    <w:p w:rsidR="00534348" w:rsidRDefault="00534348" w:rsidP="00BB1A5E">
      <w:pPr>
        <w:spacing w:after="0" w:line="240" w:lineRule="auto"/>
        <w:contextualSpacing/>
        <w:jc w:val="both"/>
      </w:pPr>
      <w:r>
        <w:t xml:space="preserve">The new electricity sources are different in nature from the past, in that they are often relatively small scale, intermittent in their supply of electricity, and often at a distance from the main areas of use. This has implications for both the electricity network and energy storage. Both of these markets are additionally affected by developments in the pattern of electricity consumption, in particular the Smart Grid. We assess the impact on </w:t>
      </w:r>
      <w:r w:rsidR="00FF2C6C">
        <w:t>copper of these trends in this S</w:t>
      </w:r>
      <w:r>
        <w:t>ection.</w:t>
      </w:r>
    </w:p>
    <w:p w:rsidR="00534348" w:rsidRDefault="00534348" w:rsidP="00BB1A5E">
      <w:pPr>
        <w:spacing w:after="0" w:line="240" w:lineRule="auto"/>
        <w:contextualSpacing/>
        <w:jc w:val="both"/>
      </w:pPr>
    </w:p>
    <w:p w:rsidR="00534348" w:rsidRDefault="00534348" w:rsidP="00BB1A5E">
      <w:pPr>
        <w:spacing w:after="0" w:line="240" w:lineRule="auto"/>
        <w:contextualSpacing/>
        <w:jc w:val="both"/>
      </w:pPr>
      <w:r>
        <w:t xml:space="preserve">While </w:t>
      </w:r>
      <w:r w:rsidR="00FF2C6C">
        <w:t>renewable sources will provide most of the growth in electricity generation, fossil fuel-based power plants will still dominate electricity supply. There is a strong incentive to make these plants cleaner, carbon capture and storage (CCS) being the means to do this. We therefore look at CCS, both in power plants and as used by large industry, in this section of the Report.</w:t>
      </w:r>
    </w:p>
    <w:p w:rsidR="00682044" w:rsidRDefault="00682044" w:rsidP="00BB1A5E">
      <w:pPr>
        <w:spacing w:after="0" w:line="240" w:lineRule="auto"/>
        <w:contextualSpacing/>
        <w:jc w:val="both"/>
      </w:pPr>
    </w:p>
    <w:p w:rsidR="00682044" w:rsidRPr="00C95F78" w:rsidRDefault="00682044"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77" w:name="_Toc263688581"/>
      <w:r>
        <w:rPr>
          <w:rFonts w:asciiTheme="minorHAnsi" w:hAnsiTheme="minorHAnsi"/>
          <w:color w:val="365F91" w:themeColor="accent1" w:themeShade="BF"/>
          <w:sz w:val="30"/>
          <w:szCs w:val="30"/>
        </w:rPr>
        <w:t>Renewable Energy in Context</w:t>
      </w:r>
      <w:bookmarkEnd w:id="77"/>
    </w:p>
    <w:p w:rsidR="00682044" w:rsidRDefault="00682044" w:rsidP="00BB1A5E">
      <w:pPr>
        <w:spacing w:after="0" w:line="240" w:lineRule="auto"/>
        <w:contextualSpacing/>
        <w:jc w:val="both"/>
      </w:pPr>
    </w:p>
    <w:p w:rsidR="00682044" w:rsidRDefault="00BD7174" w:rsidP="00BB1A5E">
      <w:pPr>
        <w:spacing w:after="0" w:line="240" w:lineRule="auto"/>
        <w:contextualSpacing/>
        <w:jc w:val="both"/>
      </w:pPr>
      <w:r>
        <w:t>Renewable energy sources are set to show a very large proportion of the growth in electricity generating capacity over the next decade, to the point where they provide quite a large portion of our total electricity needs. Also, renewable sources of heat will provide an important additional source of energy. Although these facts are well understood, it is worth underlining the scale of this development, by looking at the figures.</w:t>
      </w:r>
    </w:p>
    <w:p w:rsidR="00BD7174" w:rsidRDefault="00BD7174" w:rsidP="00BB1A5E">
      <w:pPr>
        <w:spacing w:after="0" w:line="240" w:lineRule="auto"/>
        <w:contextualSpacing/>
        <w:jc w:val="both"/>
      </w:pPr>
    </w:p>
    <w:p w:rsidR="00BD7174" w:rsidRDefault="006D4577" w:rsidP="00BB1A5E">
      <w:pPr>
        <w:spacing w:after="0" w:line="240" w:lineRule="auto"/>
        <w:contextualSpacing/>
        <w:jc w:val="both"/>
      </w:pPr>
      <w:r>
        <w:t>Firstly, total electricity generating capacity is growing quite slowly, at an average rate of 2.4% p.a. between 2010 and 2020. The rate of growth is slowing, the annual addition of capacity falling from over 150 GW today to less than 100 GW. Most of the growth is in China and other emerging markets.</w:t>
      </w:r>
    </w:p>
    <w:p w:rsidR="000D06DF" w:rsidRDefault="000D06DF" w:rsidP="00BB1A5E">
      <w:pPr>
        <w:spacing w:after="0" w:line="240" w:lineRule="auto"/>
        <w:contextualSpacing/>
        <w:jc w:val="both"/>
      </w:pPr>
    </w:p>
    <w:p w:rsidR="003B407F" w:rsidRPr="006D4577" w:rsidRDefault="006D4577" w:rsidP="00BB1A5E">
      <w:pPr>
        <w:spacing w:after="0" w:line="240" w:lineRule="auto"/>
        <w:contextualSpacing/>
        <w:jc w:val="both"/>
      </w:pPr>
      <w:r>
        <w:t>Looking at the share of renewable in total electricity generating capacity, in 2010 it is quite small, at 7.6%</w:t>
      </w:r>
      <w:r w:rsidR="006D15B8">
        <w:t xml:space="preserve"> (excluding large hydroelectric schemes)</w:t>
      </w:r>
      <w:r>
        <w:t>. While this share is set to expand rapidly, to 20.2% in 2020, other generation, based mainly on fossil fuels, will still dominate electricity capacity. The share of renewable in electricity production will be smaller, as intermittent output from most renewable sources means that output is lower in relation to capacity than for traditional generating stations.</w:t>
      </w:r>
      <w:r w:rsidR="003B407F">
        <w:rPr>
          <w:sz w:val="28"/>
          <w:szCs w:val="28"/>
        </w:rPr>
        <w:br w:type="page"/>
      </w:r>
    </w:p>
    <w:p w:rsidR="00BD7174" w:rsidRPr="00C95F78" w:rsidRDefault="00BD7174" w:rsidP="00BB1A5E">
      <w:pPr>
        <w:pStyle w:val="Caption"/>
        <w:contextualSpacing/>
        <w:jc w:val="center"/>
        <w:rPr>
          <w:sz w:val="28"/>
          <w:szCs w:val="28"/>
        </w:rPr>
      </w:pPr>
      <w:bookmarkStart w:id="78" w:name="_Toc26367169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44</w:t>
      </w:r>
      <w:r w:rsidR="00D50FDC" w:rsidRPr="00C95F78">
        <w:rPr>
          <w:sz w:val="28"/>
          <w:szCs w:val="28"/>
        </w:rPr>
        <w:fldChar w:fldCharType="end"/>
      </w:r>
      <w:r w:rsidRPr="00C95F78">
        <w:rPr>
          <w:sz w:val="28"/>
          <w:szCs w:val="28"/>
        </w:rPr>
        <w:t xml:space="preserve">: </w:t>
      </w:r>
      <w:r>
        <w:rPr>
          <w:sz w:val="28"/>
          <w:szCs w:val="28"/>
        </w:rPr>
        <w:t>Growth in Total Electricity Generating Capacity</w:t>
      </w:r>
      <w:r w:rsidRPr="00C95F78">
        <w:rPr>
          <w:sz w:val="28"/>
          <w:szCs w:val="28"/>
        </w:rPr>
        <w:t xml:space="preserve"> (GW ‘000)</w:t>
      </w:r>
      <w:bookmarkEnd w:id="78"/>
    </w:p>
    <w:p w:rsidR="005A48E2" w:rsidRPr="00C95F78" w:rsidRDefault="00536446" w:rsidP="00BB1A5E">
      <w:pPr>
        <w:spacing w:after="0" w:line="240" w:lineRule="auto"/>
        <w:contextualSpacing/>
        <w:jc w:val="both"/>
      </w:pPr>
      <w:r w:rsidRPr="00536446">
        <w:rPr>
          <w:noProof/>
          <w:lang w:val="en-US"/>
        </w:rPr>
        <w:drawing>
          <wp:inline distT="0" distB="0" distL="0" distR="0">
            <wp:extent cx="5831840" cy="1411778"/>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831840" cy="1411778"/>
                    </a:xfrm>
                    <a:prstGeom prst="rect">
                      <a:avLst/>
                    </a:prstGeom>
                    <a:noFill/>
                    <a:ln w="9525">
                      <a:noFill/>
                      <a:miter lim="800000"/>
                      <a:headEnd/>
                      <a:tailEnd/>
                    </a:ln>
                  </pic:spPr>
                </pic:pic>
              </a:graphicData>
            </a:graphic>
          </wp:inline>
        </w:drawing>
      </w:r>
    </w:p>
    <w:p w:rsidR="004D6789" w:rsidRDefault="004D6789" w:rsidP="00BB1A5E">
      <w:pPr>
        <w:spacing w:after="0" w:line="240" w:lineRule="auto"/>
        <w:jc w:val="both"/>
      </w:pPr>
    </w:p>
    <w:p w:rsidR="003B407F" w:rsidRDefault="003B407F" w:rsidP="00BB1A5E">
      <w:pPr>
        <w:spacing w:after="0" w:line="240" w:lineRule="auto"/>
        <w:jc w:val="both"/>
      </w:pPr>
    </w:p>
    <w:p w:rsidR="003B407F" w:rsidRDefault="003B407F" w:rsidP="00BB1A5E">
      <w:pPr>
        <w:spacing w:after="0" w:line="240" w:lineRule="auto"/>
        <w:jc w:val="both"/>
      </w:pPr>
    </w:p>
    <w:p w:rsidR="003B407F" w:rsidRPr="00C95F78" w:rsidRDefault="003B407F" w:rsidP="00BB1A5E">
      <w:pPr>
        <w:spacing w:after="0" w:line="240" w:lineRule="auto"/>
        <w:jc w:val="both"/>
      </w:pPr>
    </w:p>
    <w:p w:rsidR="00F03DED" w:rsidRPr="00C95F78" w:rsidRDefault="00F03DED" w:rsidP="00BB1A5E">
      <w:pPr>
        <w:pStyle w:val="Caption"/>
        <w:contextualSpacing/>
        <w:jc w:val="center"/>
        <w:rPr>
          <w:sz w:val="28"/>
          <w:szCs w:val="28"/>
        </w:rPr>
      </w:pPr>
      <w:bookmarkStart w:id="79" w:name="_Toc26367169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45</w:t>
      </w:r>
      <w:r w:rsidR="00D50FDC" w:rsidRPr="00C95F78">
        <w:rPr>
          <w:sz w:val="28"/>
          <w:szCs w:val="28"/>
        </w:rPr>
        <w:fldChar w:fldCharType="end"/>
      </w:r>
      <w:r w:rsidR="001A28B8">
        <w:rPr>
          <w:sz w:val="28"/>
          <w:szCs w:val="28"/>
        </w:rPr>
        <w:t xml:space="preserve">: </w:t>
      </w:r>
      <w:r w:rsidRPr="00C95F78">
        <w:rPr>
          <w:sz w:val="28"/>
          <w:szCs w:val="28"/>
        </w:rPr>
        <w:t xml:space="preserve">Renewable Energy Electricity </w:t>
      </w:r>
      <w:r w:rsidR="003B407F">
        <w:rPr>
          <w:sz w:val="28"/>
          <w:szCs w:val="28"/>
        </w:rPr>
        <w:t xml:space="preserve">Generating Capacity </w:t>
      </w:r>
      <w:r w:rsidRPr="00C95F78">
        <w:rPr>
          <w:sz w:val="28"/>
          <w:szCs w:val="28"/>
        </w:rPr>
        <w:t>(GW ‘000)</w:t>
      </w:r>
      <w:bookmarkEnd w:id="79"/>
    </w:p>
    <w:p w:rsidR="005A48E2" w:rsidRPr="00C95F78" w:rsidRDefault="00CF7F5E" w:rsidP="00BB1A5E">
      <w:pPr>
        <w:spacing w:after="0" w:line="240" w:lineRule="auto"/>
        <w:jc w:val="both"/>
      </w:pPr>
      <w:r w:rsidRPr="00CF7F5E">
        <w:rPr>
          <w:noProof/>
          <w:lang w:val="en-US"/>
        </w:rPr>
        <w:drawing>
          <wp:inline distT="0" distB="0" distL="0" distR="0">
            <wp:extent cx="5831840" cy="2179612"/>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Default="005A48E2" w:rsidP="00BB1A5E">
      <w:pPr>
        <w:spacing w:after="0" w:line="240" w:lineRule="auto"/>
        <w:contextualSpacing/>
        <w:jc w:val="both"/>
      </w:pPr>
    </w:p>
    <w:p w:rsidR="003B407F" w:rsidRDefault="003B407F" w:rsidP="00BB1A5E">
      <w:pPr>
        <w:spacing w:after="0" w:line="240" w:lineRule="auto"/>
        <w:contextualSpacing/>
        <w:jc w:val="both"/>
      </w:pPr>
    </w:p>
    <w:p w:rsidR="003B407F" w:rsidRPr="00C95F78" w:rsidRDefault="003B407F" w:rsidP="00BB1A5E">
      <w:pPr>
        <w:spacing w:after="0" w:line="240" w:lineRule="auto"/>
        <w:contextualSpacing/>
        <w:jc w:val="both"/>
      </w:pPr>
    </w:p>
    <w:p w:rsidR="005A48E2" w:rsidRPr="00C95F78" w:rsidRDefault="005A48E2" w:rsidP="00BB1A5E">
      <w:pPr>
        <w:spacing w:after="0" w:line="240" w:lineRule="auto"/>
        <w:contextualSpacing/>
        <w:jc w:val="both"/>
      </w:pPr>
    </w:p>
    <w:p w:rsidR="003B407F" w:rsidRPr="00C95F78" w:rsidRDefault="003B407F" w:rsidP="00BB1A5E">
      <w:pPr>
        <w:pStyle w:val="Caption"/>
        <w:contextualSpacing/>
        <w:jc w:val="center"/>
        <w:rPr>
          <w:sz w:val="28"/>
          <w:szCs w:val="28"/>
        </w:rPr>
      </w:pPr>
      <w:bookmarkStart w:id="80" w:name="_Toc26367170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46</w:t>
      </w:r>
      <w:r w:rsidR="00D50FDC" w:rsidRPr="00C95F78">
        <w:rPr>
          <w:sz w:val="28"/>
          <w:szCs w:val="28"/>
        </w:rPr>
        <w:fldChar w:fldCharType="end"/>
      </w:r>
      <w:r w:rsidRPr="00C95F78">
        <w:rPr>
          <w:sz w:val="28"/>
          <w:szCs w:val="28"/>
        </w:rPr>
        <w:t xml:space="preserve">: </w:t>
      </w:r>
      <w:r>
        <w:rPr>
          <w:sz w:val="28"/>
          <w:szCs w:val="28"/>
        </w:rPr>
        <w:t>Growth in the Share of Renewables in Electricity Generating Capacity (GW ‘000)</w:t>
      </w:r>
      <w:bookmarkEnd w:id="80"/>
    </w:p>
    <w:p w:rsidR="0089099C" w:rsidRDefault="003B407F" w:rsidP="00BB1A5E">
      <w:pPr>
        <w:spacing w:after="0" w:line="240" w:lineRule="auto"/>
        <w:contextualSpacing/>
        <w:jc w:val="both"/>
        <w:rPr>
          <w:sz w:val="28"/>
          <w:szCs w:val="28"/>
        </w:rPr>
      </w:pPr>
      <w:r w:rsidRPr="003B407F">
        <w:rPr>
          <w:noProof/>
          <w:lang w:val="en-US"/>
        </w:rPr>
        <w:drawing>
          <wp:inline distT="0" distB="0" distL="0" distR="0">
            <wp:extent cx="5831840" cy="2634582"/>
            <wp:effectExtent l="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831840" cy="2634582"/>
                    </a:xfrm>
                    <a:prstGeom prst="rect">
                      <a:avLst/>
                    </a:prstGeom>
                    <a:noFill/>
                    <a:ln w="9525">
                      <a:noFill/>
                      <a:miter lim="800000"/>
                      <a:headEnd/>
                      <a:tailEnd/>
                    </a:ln>
                  </pic:spPr>
                </pic:pic>
              </a:graphicData>
            </a:graphic>
          </wp:inline>
        </w:drawing>
      </w:r>
      <w:r w:rsidR="0089099C">
        <w:rPr>
          <w:sz w:val="28"/>
          <w:szCs w:val="28"/>
        </w:rPr>
        <w:br w:type="page"/>
      </w:r>
    </w:p>
    <w:p w:rsidR="0089099C" w:rsidRDefault="0089099C" w:rsidP="00BB1A5E">
      <w:pPr>
        <w:spacing w:after="0" w:line="240" w:lineRule="auto"/>
        <w:contextualSpacing/>
        <w:jc w:val="both"/>
      </w:pPr>
      <w:r>
        <w:t>Rapid growth in the installation of new capacity lies behind the rise in share of renewable in total electricity generating capacity. Indeed, most installation of new capacity is of renewable, with very little new installation of fossil fuel-based plants. Over the next decade, we expect to see the role of non renewable technologies in total capacity installation fall much</w:t>
      </w:r>
      <w:r w:rsidR="009438A1">
        <w:t xml:space="preserve"> further, to the point where </w:t>
      </w:r>
      <w:r>
        <w:t>the rate of new installation is exceeded by that in plant retirement.</w:t>
      </w:r>
    </w:p>
    <w:p w:rsidR="0089099C" w:rsidRDefault="0089099C" w:rsidP="00BB1A5E">
      <w:pPr>
        <w:spacing w:after="0" w:line="240" w:lineRule="auto"/>
        <w:contextualSpacing/>
        <w:jc w:val="both"/>
      </w:pPr>
    </w:p>
    <w:p w:rsidR="0089099C" w:rsidRDefault="0089099C" w:rsidP="00BB1A5E">
      <w:pPr>
        <w:spacing w:after="0" w:line="240" w:lineRule="auto"/>
        <w:contextualSpacing/>
        <w:jc w:val="both"/>
      </w:pPr>
      <w:r w:rsidRPr="00387A10">
        <w:t xml:space="preserve">The renewable market itself is divided into a number of different energy sources. The ones with the highest copper content and most rapid growth are wind energy and solar photovoltaic. These account for a total of </w:t>
      </w:r>
      <w:r w:rsidR="00387A10" w:rsidRPr="00387A10">
        <w:t>45</w:t>
      </w:r>
      <w:r w:rsidRPr="00387A10">
        <w:t xml:space="preserve">% and </w:t>
      </w:r>
      <w:r w:rsidR="00387A10" w:rsidRPr="00387A10">
        <w:t>8</w:t>
      </w:r>
      <w:r w:rsidRPr="00387A10">
        <w:t xml:space="preserve">% respectively of installed renewable generating capacity in 2010. These are set to increase to </w:t>
      </w:r>
      <w:r w:rsidR="00387A10" w:rsidRPr="00387A10">
        <w:t>55</w:t>
      </w:r>
      <w:r w:rsidRPr="00387A10">
        <w:t xml:space="preserve">% for wind energy, and </w:t>
      </w:r>
      <w:r w:rsidR="00387A10" w:rsidRPr="00387A10">
        <w:t>12</w:t>
      </w:r>
      <w:r w:rsidRPr="00387A10">
        <w:t>% for solar photovoltaic energy by 2020.</w:t>
      </w:r>
    </w:p>
    <w:p w:rsidR="0089099C" w:rsidRDefault="0089099C" w:rsidP="00BB1A5E">
      <w:pPr>
        <w:spacing w:after="0" w:line="240" w:lineRule="auto"/>
        <w:contextualSpacing/>
        <w:jc w:val="both"/>
      </w:pPr>
    </w:p>
    <w:p w:rsidR="0089099C" w:rsidRDefault="0089099C" w:rsidP="00BB1A5E">
      <w:pPr>
        <w:spacing w:after="0" w:line="240" w:lineRule="auto"/>
        <w:contextualSpacing/>
        <w:jc w:val="both"/>
      </w:pPr>
      <w:r>
        <w:t xml:space="preserve">Other major contributors to renewable sourced energy include hydroelectricity and biomass sources. Large hydro power schemes are a well established technology and </w:t>
      </w:r>
      <w:r w:rsidRPr="00806E70">
        <w:t xml:space="preserve">large in scale. We are not considering then here as one of the new renewable sources. There are also quite a large number of small hydro schemes at the individual premise, factory or community scale. These accounted for </w:t>
      </w:r>
      <w:r w:rsidR="00806E70" w:rsidRPr="00806E70">
        <w:t>27</w:t>
      </w:r>
      <w:r w:rsidRPr="00806E70">
        <w:t xml:space="preserve">% of renewable energy in 2010. Biomass, based mainly on plant and animal-based material is also quite large, with a </w:t>
      </w:r>
      <w:r w:rsidR="00806E70" w:rsidRPr="00806E70">
        <w:t>16</w:t>
      </w:r>
      <w:r w:rsidRPr="00806E70">
        <w:t>% share. Both small hydro and biomass are set to grow more slowly than wind power and solar photovoltaic electricity.</w:t>
      </w:r>
    </w:p>
    <w:p w:rsidR="0089099C" w:rsidRDefault="0089099C" w:rsidP="00BB1A5E">
      <w:pPr>
        <w:spacing w:after="0" w:line="240" w:lineRule="auto"/>
        <w:contextualSpacing/>
        <w:jc w:val="both"/>
      </w:pPr>
    </w:p>
    <w:p w:rsidR="0089099C" w:rsidRDefault="0089099C" w:rsidP="00BB1A5E">
      <w:pPr>
        <w:spacing w:after="0" w:line="240" w:lineRule="auto"/>
        <w:contextualSpacing/>
        <w:jc w:val="both"/>
      </w:pPr>
      <w:r>
        <w:t>Other than the main types, there geothermal, solar concentrating and marine generation form part of the picture. In time, marine generation could prove to be a major source of electricity, but is likely to remain quite small for the rest of this decade.</w:t>
      </w:r>
    </w:p>
    <w:p w:rsidR="0089099C" w:rsidRDefault="0089099C" w:rsidP="00BB1A5E">
      <w:pPr>
        <w:spacing w:after="0" w:line="240" w:lineRule="auto"/>
        <w:contextualSpacing/>
        <w:jc w:val="both"/>
      </w:pPr>
    </w:p>
    <w:p w:rsidR="0089099C" w:rsidRDefault="0089099C" w:rsidP="00BB1A5E">
      <w:pPr>
        <w:spacing w:after="0" w:line="240" w:lineRule="auto"/>
        <w:contextualSpacing/>
        <w:jc w:val="both"/>
      </w:pPr>
      <w:r>
        <w:t>To complete the energy from renewables picture, water heating is also important. Solar water heating from renewable sources alone is equivalent to about one half of the renewable electricity capacity. Around two thirds of the solar water heating capacity is in China. Other heat generation from renewable is found in from geothermal and other sources. It is a well established technology to combine heat generation with electricity in fossil fuel based Combined Heat and Power (CHP) schemes. CHP also features in the renewable market.</w:t>
      </w:r>
    </w:p>
    <w:p w:rsidR="0089099C" w:rsidRDefault="0089099C" w:rsidP="00BB1A5E">
      <w:pPr>
        <w:spacing w:after="0" w:line="240" w:lineRule="auto"/>
        <w:contextualSpacing/>
        <w:jc w:val="both"/>
      </w:pPr>
    </w:p>
    <w:p w:rsidR="0089099C" w:rsidRDefault="0089099C" w:rsidP="00BB1A5E">
      <w:pPr>
        <w:spacing w:after="0" w:line="240" w:lineRule="auto"/>
        <w:contextualSpacing/>
        <w:jc w:val="both"/>
      </w:pPr>
      <w:r>
        <w:t>In terms of geographical distribution, Europe has a pivotal role in the renewables electricity generation business. In 2010, it has 37% of global capacity, and is particularly important in wind power and solar photovoltaics. Although Europe’s rate of growth in installed capacity will fall behind that in other world regions, it will remain a major contributor to the global renewable energy electricity business.</w:t>
      </w:r>
    </w:p>
    <w:p w:rsidR="0089099C" w:rsidRDefault="0089099C" w:rsidP="00BB1A5E">
      <w:pPr>
        <w:spacing w:after="0" w:line="240" w:lineRule="auto"/>
        <w:contextualSpacing/>
        <w:jc w:val="both"/>
      </w:pPr>
    </w:p>
    <w:p w:rsidR="0089099C" w:rsidRDefault="0089099C"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81" w:name="_Toc263688582"/>
      <w:r w:rsidRPr="00C95F78">
        <w:rPr>
          <w:rFonts w:asciiTheme="minorHAnsi" w:hAnsiTheme="minorHAnsi"/>
          <w:color w:val="365F91" w:themeColor="accent1" w:themeShade="BF"/>
          <w:sz w:val="30"/>
          <w:szCs w:val="30"/>
        </w:rPr>
        <w:t>Wind Energy Generation</w:t>
      </w:r>
      <w:bookmarkEnd w:id="81"/>
    </w:p>
    <w:p w:rsidR="0089099C" w:rsidRPr="00B32B5F" w:rsidRDefault="0089099C" w:rsidP="00BB1A5E">
      <w:pPr>
        <w:spacing w:after="0" w:line="240" w:lineRule="auto"/>
        <w:jc w:val="both"/>
      </w:pPr>
    </w:p>
    <w:p w:rsidR="0089099C" w:rsidRPr="00B32B5F" w:rsidRDefault="0089099C"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82" w:name="_Toc263688583"/>
      <w:r w:rsidRPr="00B32B5F">
        <w:rPr>
          <w:rFonts w:asciiTheme="minorHAnsi" w:hAnsiTheme="minorHAnsi"/>
          <w:color w:val="365F91" w:themeColor="accent1" w:themeShade="BF"/>
          <w:sz w:val="26"/>
          <w:szCs w:val="26"/>
        </w:rPr>
        <w:t>Sector Background</w:t>
      </w:r>
      <w:bookmarkEnd w:id="82"/>
    </w:p>
    <w:p w:rsidR="0089099C" w:rsidRDefault="0089099C" w:rsidP="00BB1A5E">
      <w:pPr>
        <w:autoSpaceDE w:val="0"/>
        <w:autoSpaceDN w:val="0"/>
        <w:adjustRightInd w:val="0"/>
        <w:spacing w:after="0" w:line="240" w:lineRule="auto"/>
        <w:jc w:val="both"/>
      </w:pPr>
    </w:p>
    <w:p w:rsidR="0089099C" w:rsidRPr="00C95F78" w:rsidRDefault="0089099C" w:rsidP="00BB1A5E">
      <w:pPr>
        <w:autoSpaceDE w:val="0"/>
        <w:autoSpaceDN w:val="0"/>
        <w:adjustRightInd w:val="0"/>
        <w:spacing w:after="0" w:line="240" w:lineRule="auto"/>
        <w:jc w:val="both"/>
      </w:pPr>
      <w:r w:rsidRPr="00C95F78">
        <w:t xml:space="preserve">Wind energy is one of the fastest growing energy technologies. Wind power is the conversion of </w:t>
      </w:r>
      <w:hyperlink r:id="rId59" w:tooltip="Wind" w:history="1">
        <w:r w:rsidRPr="00C95F78">
          <w:t>wind</w:t>
        </w:r>
      </w:hyperlink>
      <w:r w:rsidRPr="00C95F78">
        <w:t xml:space="preserve"> energy into a form </w:t>
      </w:r>
      <w:r>
        <w:t>that is useful</w:t>
      </w:r>
      <w:r w:rsidRPr="00C95F78">
        <w:t xml:space="preserve">. </w:t>
      </w:r>
      <w:r>
        <w:t>Today, this normally means the conversion of the wind’s kinetic energy in</w:t>
      </w:r>
      <w:r w:rsidR="00FC7F48">
        <w:t>to mechanical energy with</w:t>
      </w:r>
      <w:r w:rsidRPr="00C95F78">
        <w:t xml:space="preserve"> wind turbines</w:t>
      </w:r>
      <w:r w:rsidR="00FC7F48">
        <w:t>. The mechanical energy is used to drive a generator, to create electricity.</w:t>
      </w:r>
      <w:r w:rsidRPr="00C95F78">
        <w:t xml:space="preserve"> </w:t>
      </w:r>
      <w:r w:rsidR="00FC7F48">
        <w:t>While this is the modern technology, i</w:t>
      </w:r>
      <w:r w:rsidR="00BC002E">
        <w:t>n developing countries there ar</w:t>
      </w:r>
      <w:r w:rsidR="00FC7F48">
        <w:t xml:space="preserve"> still many </w:t>
      </w:r>
      <w:r w:rsidRPr="00C95F78">
        <w:t>windmills</w:t>
      </w:r>
      <w:r w:rsidR="00FC7F48">
        <w:t xml:space="preserve"> using a much older </w:t>
      </w:r>
      <w:r w:rsidR="00EB260C">
        <w:t>principles</w:t>
      </w:r>
      <w:r w:rsidRPr="00C95F78">
        <w:t xml:space="preserve">, </w:t>
      </w:r>
      <w:r w:rsidR="00FC7F48">
        <w:t xml:space="preserve">the mechanical energy captured </w:t>
      </w:r>
      <w:r w:rsidR="00EB260C">
        <w:t xml:space="preserve">being used </w:t>
      </w:r>
      <w:r w:rsidR="00FC7F48">
        <w:t>to carry out simple functions such as crushing grain or pumping water.</w:t>
      </w:r>
    </w:p>
    <w:p w:rsidR="0089099C" w:rsidRPr="00C95F78" w:rsidRDefault="0089099C" w:rsidP="00BB1A5E">
      <w:pPr>
        <w:autoSpaceDE w:val="0"/>
        <w:autoSpaceDN w:val="0"/>
        <w:adjustRightInd w:val="0"/>
        <w:spacing w:after="0" w:line="240" w:lineRule="auto"/>
        <w:jc w:val="both"/>
      </w:pPr>
    </w:p>
    <w:p w:rsidR="00EB260C" w:rsidRDefault="0089099C" w:rsidP="00BB1A5E">
      <w:pPr>
        <w:autoSpaceDE w:val="0"/>
        <w:autoSpaceDN w:val="0"/>
        <w:adjustRightInd w:val="0"/>
        <w:spacing w:after="0" w:line="240" w:lineRule="auto"/>
        <w:jc w:val="both"/>
      </w:pPr>
      <w:r w:rsidRPr="00C95F78">
        <w:t xml:space="preserve">Wind power </w:t>
      </w:r>
      <w:r w:rsidR="00EB260C">
        <w:t>installations vary enormously in scale and type. Large wind farm installations linked to the electricity grid form one end of the spectrum. These may be located either onshore or offshore. At the other end of the spectrum are small</w:t>
      </w:r>
      <w:r w:rsidRPr="00C95F78">
        <w:t xml:space="preserve"> individual turbines for providing electricity to </w:t>
      </w:r>
      <w:r w:rsidR="00EB260C">
        <w:t>individual premises or electricity using installations. These are often in rural and grid-isolated sites.</w:t>
      </w:r>
    </w:p>
    <w:p w:rsidR="004D6789" w:rsidRPr="003B407F" w:rsidRDefault="00C50A4A" w:rsidP="00BB1A5E">
      <w:pPr>
        <w:spacing w:after="0" w:line="240" w:lineRule="auto"/>
        <w:contextualSpacing/>
        <w:jc w:val="both"/>
      </w:pPr>
      <w:r w:rsidRPr="00C95F78">
        <w:rPr>
          <w:sz w:val="28"/>
          <w:szCs w:val="28"/>
        </w:rPr>
        <w:br w:type="page"/>
      </w:r>
    </w:p>
    <w:p w:rsidR="00F03DED" w:rsidRPr="00C95F78" w:rsidRDefault="00F03DED" w:rsidP="00BB1A5E">
      <w:pPr>
        <w:pStyle w:val="Caption"/>
        <w:spacing w:after="120"/>
        <w:contextualSpacing/>
        <w:jc w:val="center"/>
        <w:rPr>
          <w:sz w:val="28"/>
          <w:szCs w:val="28"/>
        </w:rPr>
      </w:pPr>
      <w:bookmarkStart w:id="83" w:name="_Toc26367170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47</w:t>
      </w:r>
      <w:r w:rsidR="00D50FDC" w:rsidRPr="00C95F78">
        <w:rPr>
          <w:sz w:val="28"/>
          <w:szCs w:val="28"/>
        </w:rPr>
        <w:fldChar w:fldCharType="end"/>
      </w:r>
      <w:r w:rsidR="0089099C">
        <w:rPr>
          <w:sz w:val="28"/>
          <w:szCs w:val="28"/>
        </w:rPr>
        <w:t xml:space="preserve">: </w:t>
      </w:r>
      <w:r w:rsidRPr="00C95F78">
        <w:rPr>
          <w:sz w:val="28"/>
          <w:szCs w:val="28"/>
        </w:rPr>
        <w:t>Renewable</w:t>
      </w:r>
      <w:r w:rsidR="004C6A71">
        <w:rPr>
          <w:sz w:val="28"/>
          <w:szCs w:val="28"/>
        </w:rPr>
        <w:t>s-Based</w:t>
      </w:r>
      <w:r w:rsidRPr="00C95F78">
        <w:rPr>
          <w:sz w:val="28"/>
          <w:szCs w:val="28"/>
        </w:rPr>
        <w:t xml:space="preserve"> Electricity Generati</w:t>
      </w:r>
      <w:r w:rsidR="0089099C">
        <w:rPr>
          <w:sz w:val="28"/>
          <w:szCs w:val="28"/>
        </w:rPr>
        <w:t>ng Capacity by Type</w:t>
      </w:r>
      <w:r w:rsidR="00D46DC4">
        <w:rPr>
          <w:sz w:val="28"/>
          <w:szCs w:val="28"/>
        </w:rPr>
        <w:t xml:space="preserve"> (GW)</w:t>
      </w:r>
      <w:bookmarkEnd w:id="83"/>
    </w:p>
    <w:p w:rsidR="005A48E2" w:rsidRPr="00C95F78" w:rsidRDefault="00BC002E" w:rsidP="00BB1A5E">
      <w:pPr>
        <w:spacing w:after="0" w:line="240" w:lineRule="auto"/>
        <w:contextualSpacing/>
        <w:jc w:val="both"/>
      </w:pPr>
      <w:r w:rsidRPr="00BC002E">
        <w:rPr>
          <w:noProof/>
          <w:lang w:val="en-US"/>
        </w:rPr>
        <w:drawing>
          <wp:inline distT="0" distB="0" distL="0" distR="0">
            <wp:extent cx="5831840" cy="355273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831840" cy="3552730"/>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FE51FE" w:rsidRDefault="00FE51FE" w:rsidP="00BB1A5E">
      <w:pPr>
        <w:pStyle w:val="Caption"/>
        <w:spacing w:after="120"/>
        <w:contextualSpacing/>
        <w:jc w:val="center"/>
        <w:rPr>
          <w:sz w:val="28"/>
          <w:szCs w:val="28"/>
        </w:rPr>
      </w:pPr>
      <w:bookmarkStart w:id="84" w:name="_Toc26367170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48</w:t>
      </w:r>
      <w:r w:rsidR="00D50FDC" w:rsidRPr="00C95F78">
        <w:rPr>
          <w:sz w:val="28"/>
          <w:szCs w:val="28"/>
        </w:rPr>
        <w:fldChar w:fldCharType="end"/>
      </w:r>
      <w:r w:rsidRPr="00C95F78">
        <w:rPr>
          <w:sz w:val="28"/>
          <w:szCs w:val="28"/>
        </w:rPr>
        <w:t xml:space="preserve">: </w:t>
      </w:r>
      <w:r>
        <w:rPr>
          <w:sz w:val="28"/>
          <w:szCs w:val="28"/>
        </w:rPr>
        <w:t>Share of the Alternative Renewable Energy Technologies</w:t>
      </w:r>
      <w:bookmarkEnd w:id="84"/>
    </w:p>
    <w:p w:rsidR="00FE51FE" w:rsidRPr="00FE51FE" w:rsidRDefault="00FE51FE" w:rsidP="00BB1A5E">
      <w:pPr>
        <w:spacing w:after="0" w:line="240" w:lineRule="auto"/>
        <w:ind w:left="397"/>
        <w:jc w:val="both"/>
        <w:rPr>
          <w:sz w:val="4"/>
          <w:szCs w:val="4"/>
        </w:rPr>
      </w:pPr>
    </w:p>
    <w:p w:rsidR="005A48E2" w:rsidRPr="00FE51FE" w:rsidRDefault="00FE51FE" w:rsidP="00BB1A5E">
      <w:pPr>
        <w:spacing w:after="0" w:line="240" w:lineRule="auto"/>
        <w:ind w:left="397"/>
        <w:contextualSpacing/>
        <w:jc w:val="both"/>
        <w:rPr>
          <w:sz w:val="4"/>
          <w:szCs w:val="4"/>
        </w:rPr>
      </w:pPr>
      <w:r w:rsidRPr="00FE51FE">
        <w:rPr>
          <w:noProof/>
          <w:lang w:val="en-US"/>
        </w:rPr>
        <w:drawing>
          <wp:inline distT="0" distB="0" distL="0" distR="0">
            <wp:extent cx="5257320" cy="2062066"/>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2355" t="3606" b="14425"/>
                    <a:stretch>
                      <a:fillRect/>
                    </a:stretch>
                  </pic:blipFill>
                  <pic:spPr bwMode="auto">
                    <a:xfrm>
                      <a:off x="0" y="0"/>
                      <a:ext cx="5257320" cy="2062066"/>
                    </a:xfrm>
                    <a:prstGeom prst="rect">
                      <a:avLst/>
                    </a:prstGeom>
                    <a:noFill/>
                    <a:ln w="9525">
                      <a:noFill/>
                      <a:miter lim="800000"/>
                      <a:headEnd/>
                      <a:tailEnd/>
                    </a:ln>
                  </pic:spPr>
                </pic:pic>
              </a:graphicData>
            </a:graphic>
          </wp:inline>
        </w:drawing>
      </w:r>
    </w:p>
    <w:p w:rsidR="00FE51FE" w:rsidRPr="00FE51FE" w:rsidRDefault="00FE51FE" w:rsidP="00BB1A5E">
      <w:pPr>
        <w:spacing w:after="0" w:line="240" w:lineRule="auto"/>
        <w:ind w:left="397"/>
        <w:contextualSpacing/>
        <w:jc w:val="both"/>
        <w:rPr>
          <w:sz w:val="24"/>
          <w:szCs w:val="24"/>
        </w:rPr>
      </w:pPr>
    </w:p>
    <w:p w:rsidR="00FE51FE" w:rsidRDefault="00FE51FE" w:rsidP="00BB1A5E">
      <w:pPr>
        <w:pStyle w:val="Caption"/>
        <w:spacing w:after="120"/>
        <w:contextualSpacing/>
        <w:jc w:val="center"/>
        <w:rPr>
          <w:sz w:val="28"/>
          <w:szCs w:val="28"/>
        </w:rPr>
      </w:pPr>
      <w:bookmarkStart w:id="85" w:name="_Toc26367170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49</w:t>
      </w:r>
      <w:r w:rsidR="00D50FDC" w:rsidRPr="00C95F78">
        <w:rPr>
          <w:sz w:val="28"/>
          <w:szCs w:val="28"/>
        </w:rPr>
        <w:fldChar w:fldCharType="end"/>
      </w:r>
      <w:r w:rsidRPr="00C95F78">
        <w:rPr>
          <w:sz w:val="28"/>
          <w:szCs w:val="28"/>
        </w:rPr>
        <w:t xml:space="preserve">: </w:t>
      </w:r>
      <w:r>
        <w:rPr>
          <w:sz w:val="28"/>
          <w:szCs w:val="28"/>
        </w:rPr>
        <w:t>Europe’s Share of Renewable Electricity Generating Capacity</w:t>
      </w:r>
      <w:bookmarkEnd w:id="85"/>
    </w:p>
    <w:p w:rsidR="00FE51FE" w:rsidRPr="00FE51FE" w:rsidRDefault="00FE51FE" w:rsidP="00BB1A5E">
      <w:pPr>
        <w:spacing w:after="0" w:line="240" w:lineRule="auto"/>
        <w:ind w:left="397"/>
        <w:jc w:val="both"/>
        <w:rPr>
          <w:sz w:val="4"/>
          <w:szCs w:val="4"/>
        </w:rPr>
      </w:pPr>
    </w:p>
    <w:p w:rsidR="00FE51FE" w:rsidRPr="00FE51FE" w:rsidRDefault="00FE51FE" w:rsidP="00BB1A5E">
      <w:pPr>
        <w:spacing w:after="0" w:line="240" w:lineRule="auto"/>
        <w:ind w:left="397"/>
        <w:contextualSpacing/>
        <w:jc w:val="both"/>
        <w:rPr>
          <w:sz w:val="4"/>
          <w:szCs w:val="4"/>
        </w:rPr>
      </w:pPr>
      <w:r w:rsidRPr="00FE51FE">
        <w:rPr>
          <w:noProof/>
          <w:lang w:val="en-US"/>
        </w:rPr>
        <w:drawing>
          <wp:inline distT="0" distB="0" distL="0" distR="0">
            <wp:extent cx="5139979" cy="2041451"/>
            <wp:effectExtent l="0" t="0" r="0"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l="-294" t="3426" b="4111"/>
                    <a:stretch>
                      <a:fillRect/>
                    </a:stretch>
                  </pic:blipFill>
                  <pic:spPr bwMode="auto">
                    <a:xfrm>
                      <a:off x="0" y="0"/>
                      <a:ext cx="5139979" cy="2041451"/>
                    </a:xfrm>
                    <a:prstGeom prst="rect">
                      <a:avLst/>
                    </a:prstGeom>
                    <a:noFill/>
                    <a:ln w="9525">
                      <a:noFill/>
                      <a:miter lim="800000"/>
                      <a:headEnd/>
                      <a:tailEnd/>
                    </a:ln>
                  </pic:spPr>
                </pic:pic>
              </a:graphicData>
            </a:graphic>
          </wp:inline>
        </w:drawing>
      </w:r>
    </w:p>
    <w:p w:rsidR="005A48E2" w:rsidRPr="00FE51FE" w:rsidRDefault="005A48E2" w:rsidP="00BB1A5E">
      <w:pPr>
        <w:spacing w:after="0" w:line="240" w:lineRule="auto"/>
        <w:ind w:left="397"/>
        <w:contextualSpacing/>
        <w:jc w:val="both"/>
        <w:rPr>
          <w:sz w:val="4"/>
          <w:szCs w:val="4"/>
        </w:rPr>
      </w:pPr>
    </w:p>
    <w:p w:rsidR="00B32B5F" w:rsidRPr="00B32B5F" w:rsidRDefault="00B32B5F" w:rsidP="00BB1A5E">
      <w:pPr>
        <w:pStyle w:val="Heading3"/>
        <w:numPr>
          <w:ilvl w:val="2"/>
          <w:numId w:val="1"/>
        </w:numPr>
        <w:spacing w:before="0" w:line="240" w:lineRule="auto"/>
        <w:ind w:left="0" w:firstLine="0"/>
        <w:jc w:val="both"/>
        <w:rPr>
          <w:rFonts w:asciiTheme="minorHAnsi" w:hAnsiTheme="minorHAnsi"/>
          <w:color w:val="365F91" w:themeColor="accent1" w:themeShade="BF"/>
          <w:sz w:val="26"/>
          <w:szCs w:val="26"/>
        </w:rPr>
      </w:pPr>
      <w:bookmarkStart w:id="86" w:name="_Toc263688584"/>
      <w:r>
        <w:rPr>
          <w:rFonts w:asciiTheme="minorHAnsi" w:hAnsiTheme="minorHAnsi"/>
          <w:color w:val="365F91" w:themeColor="accent1" w:themeShade="BF"/>
          <w:sz w:val="26"/>
          <w:szCs w:val="26"/>
        </w:rPr>
        <w:t xml:space="preserve">Alternative Technical </w:t>
      </w:r>
      <w:r w:rsidR="001268A7">
        <w:rPr>
          <w:rFonts w:asciiTheme="minorHAnsi" w:hAnsiTheme="minorHAnsi"/>
          <w:color w:val="365F91" w:themeColor="accent1" w:themeShade="BF"/>
          <w:sz w:val="26"/>
          <w:szCs w:val="26"/>
        </w:rPr>
        <w:t xml:space="preserve">and Market </w:t>
      </w:r>
      <w:r>
        <w:rPr>
          <w:rFonts w:asciiTheme="minorHAnsi" w:hAnsiTheme="minorHAnsi"/>
          <w:color w:val="365F91" w:themeColor="accent1" w:themeShade="BF"/>
          <w:sz w:val="26"/>
          <w:szCs w:val="26"/>
        </w:rPr>
        <w:t>S</w:t>
      </w:r>
      <w:r w:rsidRPr="00B32B5F">
        <w:rPr>
          <w:rFonts w:asciiTheme="minorHAnsi" w:hAnsiTheme="minorHAnsi"/>
          <w:color w:val="365F91" w:themeColor="accent1" w:themeShade="BF"/>
          <w:sz w:val="26"/>
          <w:szCs w:val="26"/>
        </w:rPr>
        <w:t>olutions</w:t>
      </w:r>
      <w:bookmarkEnd w:id="86"/>
    </w:p>
    <w:p w:rsidR="00B32B5F" w:rsidRDefault="00B32B5F" w:rsidP="00BB1A5E">
      <w:pPr>
        <w:spacing w:after="0" w:line="240" w:lineRule="auto"/>
        <w:jc w:val="both"/>
      </w:pPr>
    </w:p>
    <w:p w:rsidR="00CB1A61" w:rsidRDefault="00CB1A61" w:rsidP="00BB1A5E">
      <w:pPr>
        <w:autoSpaceDE w:val="0"/>
        <w:autoSpaceDN w:val="0"/>
        <w:adjustRightInd w:val="0"/>
        <w:spacing w:after="0" w:line="240" w:lineRule="auto"/>
        <w:jc w:val="both"/>
      </w:pPr>
      <w:r>
        <w:t xml:space="preserve">The potential for capturing wind power is huge, although the wind resource varies by location. A reasonably high and reliable source of wind is needed to make the use of this technology viable. Many potential sites cannot be developed on environmental grounds, objections often being voiced to the location of wind towers close to residences. </w:t>
      </w:r>
    </w:p>
    <w:p w:rsidR="00CB1A61" w:rsidRDefault="00CB1A61" w:rsidP="00BB1A5E">
      <w:pPr>
        <w:autoSpaceDE w:val="0"/>
        <w:autoSpaceDN w:val="0"/>
        <w:adjustRightInd w:val="0"/>
        <w:spacing w:after="0" w:line="240" w:lineRule="auto"/>
        <w:jc w:val="both"/>
      </w:pPr>
    </w:p>
    <w:p w:rsidR="00CB1A61" w:rsidRDefault="00CB1A61" w:rsidP="00BB1A5E">
      <w:pPr>
        <w:autoSpaceDE w:val="0"/>
        <w:autoSpaceDN w:val="0"/>
        <w:adjustRightInd w:val="0"/>
        <w:spacing w:after="0" w:line="240" w:lineRule="auto"/>
        <w:jc w:val="both"/>
      </w:pPr>
      <w:r w:rsidRPr="00C95F78">
        <w:t xml:space="preserve">The economics of wind </w:t>
      </w:r>
      <w:r>
        <w:t xml:space="preserve">electric </w:t>
      </w:r>
      <w:r w:rsidRPr="00C95F78">
        <w:t>power ar</w:t>
      </w:r>
      <w:r>
        <w:t>e directly linked to wind speed location and scale of installation. Offshore installations may be favoured as the wind resource is often higher and more predictable than on land, and environmental objections less severe. Location offshore is expensive, however, including both the higher cost of the power generating installation itself and the transport of electricity to the grid.</w:t>
      </w:r>
      <w:r w:rsidR="00256D0C">
        <w:t xml:space="preserve"> </w:t>
      </w:r>
      <w:r>
        <w:t>Offshore installations are typically twice as expensive to build and three times as expensive to operate as onshore systems.</w:t>
      </w:r>
    </w:p>
    <w:p w:rsidR="00CB1A61" w:rsidRDefault="00CB1A61" w:rsidP="00BB1A5E">
      <w:pPr>
        <w:autoSpaceDE w:val="0"/>
        <w:autoSpaceDN w:val="0"/>
        <w:adjustRightInd w:val="0"/>
        <w:spacing w:after="0" w:line="240" w:lineRule="auto"/>
        <w:jc w:val="both"/>
      </w:pPr>
    </w:p>
    <w:p w:rsidR="00CB1A61" w:rsidRDefault="00CB1A61" w:rsidP="00BB1A5E">
      <w:pPr>
        <w:spacing w:after="0" w:line="240" w:lineRule="auto"/>
        <w:jc w:val="both"/>
      </w:pPr>
      <w:r>
        <w:t xml:space="preserve">The basic components of a wind power system connected to the grid are illustrated in </w:t>
      </w:r>
      <w:r w:rsidR="003C7AEB">
        <w:fldChar w:fldCharType="begin"/>
      </w:r>
      <w:r w:rsidR="003C7AEB">
        <w:instrText xml:space="preserve"> REF _Ref263425184 \h  \* MERGEFORMAT </w:instrText>
      </w:r>
      <w:r w:rsidR="003C7AEB">
        <w:fldChar w:fldCharType="separate"/>
      </w:r>
      <w:r w:rsidR="0005759A" w:rsidRPr="0005759A">
        <w:t>Figure 50</w:t>
      </w:r>
      <w:r w:rsidR="003C7AEB">
        <w:fldChar w:fldCharType="end"/>
      </w:r>
      <w:r>
        <w:t>. It consists of a tower with rotating blades containing an electricity generator</w:t>
      </w:r>
      <w:r w:rsidR="002D70DD">
        <w:t xml:space="preserve"> and </w:t>
      </w:r>
      <w:r w:rsidR="007C5944">
        <w:t xml:space="preserve">a </w:t>
      </w:r>
      <w:r w:rsidR="002D70DD">
        <w:t>transformer</w:t>
      </w:r>
      <w:r>
        <w:t xml:space="preserve">, </w:t>
      </w:r>
      <w:r w:rsidR="007C5944">
        <w:t>which may be located within the tower or externally, to step up v</w:t>
      </w:r>
      <w:r>
        <w:t xml:space="preserve">oltage for transmission </w:t>
      </w:r>
      <w:r w:rsidR="002D70DD">
        <w:t xml:space="preserve">of electricity </w:t>
      </w:r>
      <w:r>
        <w:t>to a substation on the grid</w:t>
      </w:r>
      <w:r w:rsidR="007C5944">
        <w:t>. Also, there is</w:t>
      </w:r>
      <w:r w:rsidR="002D70DD">
        <w:t xml:space="preserve"> cabling</w:t>
      </w:r>
      <w:r w:rsidR="005F717A">
        <w:t>,</w:t>
      </w:r>
      <w:r w:rsidR="002D70DD">
        <w:t xml:space="preserve"> and </w:t>
      </w:r>
      <w:r w:rsidR="007C5944">
        <w:t xml:space="preserve">there are </w:t>
      </w:r>
      <w:r w:rsidR="002D70DD">
        <w:t>various items of electronic equipment between these basic system components.</w:t>
      </w:r>
    </w:p>
    <w:p w:rsidR="00CB1A61" w:rsidRDefault="00CB1A61" w:rsidP="00BB1A5E">
      <w:pPr>
        <w:spacing w:after="0" w:line="240" w:lineRule="auto"/>
        <w:jc w:val="both"/>
      </w:pPr>
    </w:p>
    <w:p w:rsidR="00CB1A61" w:rsidRPr="0029116A" w:rsidRDefault="002D70DD" w:rsidP="00BB1A5E">
      <w:pPr>
        <w:spacing w:after="0" w:line="240" w:lineRule="auto"/>
        <w:jc w:val="both"/>
      </w:pPr>
      <w:r w:rsidRPr="002D70DD">
        <w:rPr>
          <w:b/>
        </w:rPr>
        <w:t>Wind Towers</w:t>
      </w:r>
      <w:r>
        <w:rPr>
          <w:b/>
        </w:rPr>
        <w:t xml:space="preserve">: </w:t>
      </w:r>
      <w:r w:rsidRPr="0029116A">
        <w:t>The principle workings of a wind tower system are in the tower itsel</w:t>
      </w:r>
      <w:r w:rsidR="0029116A" w:rsidRPr="0029116A">
        <w:t xml:space="preserve">f, as illustrated in </w:t>
      </w:r>
      <w:r w:rsidR="003C7AEB">
        <w:fldChar w:fldCharType="begin"/>
      </w:r>
      <w:r w:rsidR="003C7AEB">
        <w:instrText xml:space="preserve"> REF _Ref263426002 \h  \* MERGEFORMAT </w:instrText>
      </w:r>
      <w:r w:rsidR="003C7AEB">
        <w:fldChar w:fldCharType="separate"/>
      </w:r>
      <w:r w:rsidR="0005759A" w:rsidRPr="0005759A">
        <w:t>Figure 51</w:t>
      </w:r>
      <w:r w:rsidR="003C7AEB">
        <w:fldChar w:fldCharType="end"/>
      </w:r>
      <w:r w:rsidR="0029116A" w:rsidRPr="0029116A">
        <w:t xml:space="preserve">. The typical working parts on a </w:t>
      </w:r>
      <w:r w:rsidR="005F717A">
        <w:t xml:space="preserve">land-based </w:t>
      </w:r>
      <w:r w:rsidR="0029116A" w:rsidRPr="0029116A">
        <w:t>wind tower are as follows:</w:t>
      </w:r>
    </w:p>
    <w:p w:rsidR="002D70DD" w:rsidRDefault="002D70DD" w:rsidP="00BB1A5E">
      <w:pPr>
        <w:spacing w:after="0" w:line="240" w:lineRule="auto"/>
        <w:jc w:val="both"/>
      </w:pPr>
    </w:p>
    <w:p w:rsidR="002D70DD" w:rsidRPr="00C95F78" w:rsidRDefault="002D70DD" w:rsidP="00BB1A5E">
      <w:pPr>
        <w:pStyle w:val="NormalWeb"/>
        <w:numPr>
          <w:ilvl w:val="0"/>
          <w:numId w:val="23"/>
        </w:numPr>
        <w:shd w:val="clear" w:color="auto" w:fill="FFFFFF"/>
        <w:autoSpaceDE w:val="0"/>
        <w:autoSpaceDN w:val="0"/>
        <w:adjustRightInd w:val="0"/>
        <w:spacing w:before="0" w:beforeAutospacing="0" w:after="120" w:afterAutospacing="0"/>
        <w:ind w:left="714" w:hanging="357"/>
        <w:jc w:val="both"/>
        <w:rPr>
          <w:rFonts w:asciiTheme="minorHAnsi" w:hAnsiTheme="minorHAnsi"/>
        </w:rPr>
      </w:pPr>
      <w:r w:rsidRPr="00C95F78">
        <w:rPr>
          <w:rFonts w:asciiTheme="minorHAnsi" w:eastAsiaTheme="minorHAnsi" w:hAnsiTheme="minorHAnsi" w:cstheme="minorBidi"/>
          <w:b/>
          <w:sz w:val="22"/>
          <w:szCs w:val="22"/>
          <w:lang w:val="en-US" w:eastAsia="en-US" w:bidi="en-US"/>
        </w:rPr>
        <w:t xml:space="preserve">Rotor: </w:t>
      </w:r>
      <w:r w:rsidRPr="00C95F78">
        <w:rPr>
          <w:rFonts w:asciiTheme="minorHAnsi" w:eastAsiaTheme="minorHAnsi" w:hAnsiTheme="minorHAnsi" w:cstheme="minorBidi"/>
          <w:sz w:val="22"/>
          <w:szCs w:val="22"/>
          <w:lang w:val="en-US" w:eastAsia="en-US" w:bidi="en-US"/>
        </w:rPr>
        <w:t xml:space="preserve">It is consisted of </w:t>
      </w:r>
      <w:r>
        <w:rPr>
          <w:rFonts w:asciiTheme="minorHAnsi" w:eastAsiaTheme="minorHAnsi" w:hAnsiTheme="minorHAnsi" w:cstheme="minorBidi"/>
          <w:sz w:val="22"/>
          <w:szCs w:val="22"/>
          <w:lang w:val="en-US" w:eastAsia="en-US" w:bidi="en-US"/>
        </w:rPr>
        <w:t>three blades, mounted on a hub. T</w:t>
      </w:r>
      <w:r w:rsidRPr="00C95F78">
        <w:rPr>
          <w:rFonts w:asciiTheme="minorHAnsi" w:eastAsiaTheme="minorHAnsi" w:hAnsiTheme="minorHAnsi" w:cstheme="minorBidi"/>
          <w:sz w:val="22"/>
          <w:szCs w:val="22"/>
          <w:lang w:val="en-US" w:eastAsia="en-US" w:bidi="en-US"/>
        </w:rPr>
        <w:t>ypical rotor diameters are 80 90</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m</w:t>
      </w:r>
      <w:r>
        <w:rPr>
          <w:rFonts w:asciiTheme="minorHAnsi" w:eastAsiaTheme="minorHAnsi" w:hAnsiTheme="minorHAnsi" w:cstheme="minorBidi"/>
          <w:sz w:val="22"/>
          <w:szCs w:val="22"/>
          <w:lang w:val="en-US" w:eastAsia="en-US" w:bidi="en-US"/>
        </w:rPr>
        <w:t>etres</w:t>
      </w:r>
      <w:r w:rsidRPr="00C95F78">
        <w:rPr>
          <w:rFonts w:asciiTheme="minorHAnsi" w:eastAsiaTheme="minorHAnsi" w:hAnsiTheme="minorHAnsi" w:cstheme="minorBidi"/>
          <w:sz w:val="22"/>
          <w:szCs w:val="22"/>
          <w:lang w:val="en-US" w:eastAsia="en-US" w:bidi="en-US"/>
        </w:rPr>
        <w:t xml:space="preserve"> for today’s larger machines. Blades are usually made from Glass Reinforced Plastic (GRP) and incorporate lightning protection measures. </w:t>
      </w:r>
    </w:p>
    <w:p w:rsidR="002D70DD" w:rsidRPr="00C95F78" w:rsidRDefault="002D70DD" w:rsidP="00BB1A5E">
      <w:pPr>
        <w:pStyle w:val="NormalWeb"/>
        <w:numPr>
          <w:ilvl w:val="0"/>
          <w:numId w:val="23"/>
        </w:numPr>
        <w:shd w:val="clear" w:color="auto" w:fill="FFFFFF"/>
        <w:autoSpaceDE w:val="0"/>
        <w:autoSpaceDN w:val="0"/>
        <w:adjustRightInd w:val="0"/>
        <w:spacing w:after="120" w:afterAutospacing="0"/>
        <w:ind w:left="714" w:hanging="357"/>
        <w:jc w:val="both"/>
        <w:rPr>
          <w:rFonts w:asciiTheme="minorHAnsi" w:hAnsiTheme="minorHAnsi"/>
        </w:rPr>
      </w:pPr>
      <w:r w:rsidRPr="00C95F78">
        <w:rPr>
          <w:rFonts w:asciiTheme="minorHAnsi" w:eastAsiaTheme="minorHAnsi" w:hAnsiTheme="minorHAnsi" w:cstheme="minorBidi"/>
          <w:b/>
          <w:sz w:val="22"/>
          <w:szCs w:val="22"/>
          <w:lang w:val="en-US" w:eastAsia="en-US" w:bidi="en-US"/>
        </w:rPr>
        <w:t>Nacelle:</w:t>
      </w:r>
      <w:r w:rsidRPr="00C95F78">
        <w:rPr>
          <w:rFonts w:asciiTheme="minorHAnsi" w:eastAsiaTheme="minorHAnsi" w:hAnsiTheme="minorHAnsi" w:cstheme="minorBidi"/>
          <w:sz w:val="22"/>
          <w:szCs w:val="22"/>
          <w:lang w:val="en-US" w:eastAsia="en-US" w:bidi="en-US"/>
        </w:rPr>
        <w:t xml:space="preserve"> The “box” within which the main components are housed and home to the gearbox, generator and transformer as well as some of the control electronics. </w:t>
      </w:r>
    </w:p>
    <w:p w:rsidR="002D70DD" w:rsidRPr="00C95F78" w:rsidRDefault="002D70DD" w:rsidP="00BB1A5E">
      <w:pPr>
        <w:pStyle w:val="NormalWeb"/>
        <w:numPr>
          <w:ilvl w:val="0"/>
          <w:numId w:val="23"/>
        </w:numPr>
        <w:shd w:val="clear" w:color="auto" w:fill="FFFFFF"/>
        <w:autoSpaceDE w:val="0"/>
        <w:autoSpaceDN w:val="0"/>
        <w:adjustRightInd w:val="0"/>
        <w:spacing w:after="120" w:afterAutospacing="0"/>
        <w:ind w:left="714" w:hanging="357"/>
        <w:jc w:val="both"/>
        <w:rPr>
          <w:rFonts w:asciiTheme="minorHAnsi" w:eastAsiaTheme="minorHAnsi" w:hAnsiTheme="minorHAnsi" w:cstheme="minorBidi"/>
          <w:sz w:val="22"/>
          <w:szCs w:val="22"/>
          <w:lang w:val="en-US" w:eastAsia="en-US" w:bidi="en-US"/>
        </w:rPr>
      </w:pPr>
      <w:r w:rsidRPr="00C95F78">
        <w:rPr>
          <w:rFonts w:asciiTheme="minorHAnsi" w:eastAsiaTheme="minorHAnsi" w:hAnsiTheme="minorHAnsi" w:cstheme="minorBidi"/>
          <w:b/>
          <w:sz w:val="22"/>
          <w:szCs w:val="22"/>
          <w:lang w:val="en-US" w:eastAsia="en-US" w:bidi="en-US"/>
        </w:rPr>
        <w:t xml:space="preserve">Gearbox: </w:t>
      </w:r>
      <w:r w:rsidRPr="00C95F78">
        <w:rPr>
          <w:rFonts w:asciiTheme="minorHAnsi" w:eastAsiaTheme="minorHAnsi" w:hAnsiTheme="minorHAnsi" w:cstheme="minorBidi"/>
          <w:sz w:val="22"/>
          <w:szCs w:val="22"/>
          <w:lang w:val="en-US" w:eastAsia="en-US" w:bidi="en-US"/>
        </w:rPr>
        <w:t>It converts the rotational speed of the rotor (typically 10-20</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rpm) to 1500</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 xml:space="preserve">rpm for the generator. Some turbine designs avoid a gearbox by using direct drive. </w:t>
      </w:r>
    </w:p>
    <w:p w:rsidR="002D70DD" w:rsidRPr="00C95F78" w:rsidRDefault="002D70DD" w:rsidP="00BB1A5E">
      <w:pPr>
        <w:pStyle w:val="NormalWeb"/>
        <w:numPr>
          <w:ilvl w:val="0"/>
          <w:numId w:val="23"/>
        </w:numPr>
        <w:shd w:val="clear" w:color="auto" w:fill="FFFFFF"/>
        <w:autoSpaceDE w:val="0"/>
        <w:autoSpaceDN w:val="0"/>
        <w:adjustRightInd w:val="0"/>
        <w:spacing w:after="120" w:afterAutospacing="0"/>
        <w:ind w:left="714" w:hanging="357"/>
        <w:jc w:val="both"/>
        <w:rPr>
          <w:rFonts w:asciiTheme="minorHAnsi" w:eastAsiaTheme="minorHAnsi" w:hAnsiTheme="minorHAnsi" w:cstheme="minorBidi"/>
          <w:sz w:val="22"/>
          <w:szCs w:val="22"/>
          <w:lang w:val="en-US" w:eastAsia="en-US" w:bidi="en-US"/>
        </w:rPr>
      </w:pPr>
      <w:r w:rsidRPr="00C95F78">
        <w:rPr>
          <w:rFonts w:asciiTheme="minorHAnsi" w:eastAsiaTheme="minorHAnsi" w:hAnsiTheme="minorHAnsi" w:cstheme="minorBidi"/>
          <w:b/>
          <w:sz w:val="22"/>
          <w:szCs w:val="22"/>
          <w:lang w:val="en-US" w:eastAsia="en-US" w:bidi="en-US"/>
        </w:rPr>
        <w:t xml:space="preserve">Generator: </w:t>
      </w:r>
      <w:r w:rsidRPr="00C95F78">
        <w:rPr>
          <w:rFonts w:asciiTheme="minorHAnsi" w:eastAsiaTheme="minorHAnsi" w:hAnsiTheme="minorHAnsi" w:cstheme="minorBidi"/>
          <w:sz w:val="22"/>
          <w:szCs w:val="22"/>
          <w:lang w:val="en-US" w:eastAsia="en-US" w:bidi="en-US"/>
        </w:rPr>
        <w:t>It converts rotational movement to electrical energy</w:t>
      </w:r>
    </w:p>
    <w:p w:rsidR="002D70DD" w:rsidRPr="00C95F78" w:rsidRDefault="002D70DD" w:rsidP="00BB1A5E">
      <w:pPr>
        <w:pStyle w:val="NormalWeb"/>
        <w:numPr>
          <w:ilvl w:val="0"/>
          <w:numId w:val="23"/>
        </w:numPr>
        <w:shd w:val="clear" w:color="auto" w:fill="FFFFFF"/>
        <w:autoSpaceDE w:val="0"/>
        <w:autoSpaceDN w:val="0"/>
        <w:adjustRightInd w:val="0"/>
        <w:spacing w:after="120" w:afterAutospacing="0"/>
        <w:ind w:left="714" w:hanging="357"/>
        <w:jc w:val="both"/>
        <w:rPr>
          <w:rFonts w:asciiTheme="minorHAnsi" w:eastAsiaTheme="minorHAnsi" w:hAnsiTheme="minorHAnsi" w:cstheme="minorBidi"/>
          <w:sz w:val="22"/>
          <w:szCs w:val="22"/>
          <w:lang w:val="en-US" w:eastAsia="en-US" w:bidi="en-US"/>
        </w:rPr>
      </w:pPr>
      <w:r w:rsidRPr="00C95F78">
        <w:rPr>
          <w:rFonts w:asciiTheme="minorHAnsi" w:eastAsiaTheme="minorHAnsi" w:hAnsiTheme="minorHAnsi" w:cstheme="minorBidi"/>
          <w:b/>
          <w:sz w:val="22"/>
          <w:szCs w:val="22"/>
          <w:lang w:val="en-US" w:eastAsia="en-US" w:bidi="en-US"/>
        </w:rPr>
        <w:t>Transformer:</w:t>
      </w:r>
      <w:r w:rsidRPr="00C95F78">
        <w:rPr>
          <w:rFonts w:asciiTheme="minorHAnsi" w:eastAsiaTheme="minorHAnsi" w:hAnsiTheme="minorHAnsi" w:cstheme="minorBidi"/>
          <w:sz w:val="22"/>
          <w:szCs w:val="22"/>
          <w:lang w:val="en-US" w:eastAsia="en-US" w:bidi="en-US"/>
        </w:rPr>
        <w:t xml:space="preserve"> It converts electricity from 415</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V or 690</w:t>
      </w:r>
      <w:r>
        <w:rPr>
          <w:rFonts w:asciiTheme="minorHAnsi" w:eastAsiaTheme="minorHAnsi" w:hAnsiTheme="minorHAnsi" w:cstheme="minorBidi"/>
          <w:sz w:val="22"/>
          <w:szCs w:val="22"/>
          <w:lang w:val="en-US" w:eastAsia="en-US" w:bidi="en-US"/>
        </w:rPr>
        <w:t xml:space="preserve"> V to 11 k</w:t>
      </w:r>
      <w:r w:rsidRPr="00C95F78">
        <w:rPr>
          <w:rFonts w:asciiTheme="minorHAnsi" w:eastAsiaTheme="minorHAnsi" w:hAnsiTheme="minorHAnsi" w:cstheme="minorBidi"/>
          <w:sz w:val="22"/>
          <w:szCs w:val="22"/>
          <w:lang w:val="en-US" w:eastAsia="en-US" w:bidi="en-US"/>
        </w:rPr>
        <w:t xml:space="preserve">V </w:t>
      </w:r>
      <w:r w:rsidR="007C5944">
        <w:rPr>
          <w:rFonts w:asciiTheme="minorHAnsi" w:eastAsiaTheme="minorHAnsi" w:hAnsiTheme="minorHAnsi" w:cstheme="minorBidi"/>
          <w:sz w:val="22"/>
          <w:szCs w:val="22"/>
          <w:lang w:val="en-US" w:eastAsia="en-US" w:bidi="en-US"/>
        </w:rPr>
        <w:t xml:space="preserve">or 35 kV </w:t>
      </w:r>
      <w:r w:rsidRPr="00C95F78">
        <w:rPr>
          <w:rFonts w:asciiTheme="minorHAnsi" w:eastAsiaTheme="minorHAnsi" w:hAnsiTheme="minorHAnsi" w:cstheme="minorBidi"/>
          <w:sz w:val="22"/>
          <w:szCs w:val="22"/>
          <w:lang w:val="en-US" w:eastAsia="en-US" w:bidi="en-US"/>
        </w:rPr>
        <w:t xml:space="preserve">for transmission down the tower. The transformer can also be housed </w:t>
      </w:r>
      <w:r w:rsidR="007C5944">
        <w:rPr>
          <w:rFonts w:asciiTheme="minorHAnsi" w:eastAsiaTheme="minorHAnsi" w:hAnsiTheme="minorHAnsi" w:cstheme="minorBidi"/>
          <w:sz w:val="22"/>
          <w:szCs w:val="22"/>
          <w:lang w:val="en-US" w:eastAsia="en-US" w:bidi="en-US"/>
        </w:rPr>
        <w:t>separately within the tower, or be absent where an external transformer serves more than one turbine.</w:t>
      </w:r>
    </w:p>
    <w:p w:rsidR="002D70DD" w:rsidRPr="00C95F78" w:rsidRDefault="002D70DD" w:rsidP="00BB1A5E">
      <w:pPr>
        <w:pStyle w:val="NormalWeb"/>
        <w:numPr>
          <w:ilvl w:val="0"/>
          <w:numId w:val="23"/>
        </w:numPr>
        <w:shd w:val="clear" w:color="auto" w:fill="FFFFFF"/>
        <w:autoSpaceDE w:val="0"/>
        <w:autoSpaceDN w:val="0"/>
        <w:adjustRightInd w:val="0"/>
        <w:spacing w:after="120" w:afterAutospacing="0"/>
        <w:ind w:left="714" w:hanging="357"/>
        <w:jc w:val="both"/>
        <w:rPr>
          <w:rFonts w:asciiTheme="minorHAnsi" w:eastAsiaTheme="minorHAnsi" w:hAnsiTheme="minorHAnsi" w:cstheme="minorBidi"/>
          <w:sz w:val="22"/>
          <w:szCs w:val="22"/>
          <w:lang w:val="en-US" w:eastAsia="en-US" w:bidi="en-US"/>
        </w:rPr>
      </w:pPr>
      <w:r w:rsidRPr="00C95F78">
        <w:rPr>
          <w:rFonts w:asciiTheme="minorHAnsi" w:eastAsiaTheme="minorHAnsi" w:hAnsiTheme="minorHAnsi" w:cstheme="minorBidi"/>
          <w:b/>
          <w:sz w:val="22"/>
          <w:szCs w:val="22"/>
          <w:lang w:val="en-US" w:eastAsia="en-US" w:bidi="en-US"/>
        </w:rPr>
        <w:t xml:space="preserve">Tower: </w:t>
      </w:r>
      <w:r w:rsidRPr="00C95F78">
        <w:rPr>
          <w:rFonts w:asciiTheme="minorHAnsi" w:eastAsiaTheme="minorHAnsi" w:hAnsiTheme="minorHAnsi" w:cstheme="minorBidi"/>
          <w:sz w:val="22"/>
          <w:szCs w:val="22"/>
          <w:lang w:val="en-US" w:eastAsia="en-US" w:bidi="en-US"/>
        </w:rPr>
        <w:t>Made usually out of steel, a cylinder supporting the nacelle and rotor. Typical tower heights are 60-80</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m</w:t>
      </w:r>
      <w:r>
        <w:rPr>
          <w:rFonts w:asciiTheme="minorHAnsi" w:eastAsiaTheme="minorHAnsi" w:hAnsiTheme="minorHAnsi" w:cstheme="minorBidi"/>
          <w:sz w:val="22"/>
          <w:szCs w:val="22"/>
          <w:lang w:val="en-US" w:eastAsia="en-US" w:bidi="en-US"/>
        </w:rPr>
        <w:t>etres</w:t>
      </w:r>
      <w:r w:rsidRPr="00C95F78">
        <w:rPr>
          <w:rFonts w:asciiTheme="minorHAnsi" w:eastAsiaTheme="minorHAnsi" w:hAnsiTheme="minorHAnsi" w:cstheme="minorBidi"/>
          <w:sz w:val="22"/>
          <w:szCs w:val="22"/>
          <w:lang w:val="en-US" w:eastAsia="en-US" w:bidi="en-US"/>
        </w:rPr>
        <w:t xml:space="preserve">. Cables run down the tower taking the electricity from the generator at the top, into the ground and then onto a connection point to the grid. Lifts or ladders allow maintenance crew to access the nacelle. </w:t>
      </w:r>
    </w:p>
    <w:p w:rsidR="002D70DD" w:rsidRPr="00C95F78" w:rsidRDefault="002D70DD" w:rsidP="00BB1A5E">
      <w:pPr>
        <w:pStyle w:val="NormalWeb"/>
        <w:numPr>
          <w:ilvl w:val="0"/>
          <w:numId w:val="23"/>
        </w:numPr>
        <w:shd w:val="clear" w:color="auto" w:fill="FFFFFF"/>
        <w:autoSpaceDE w:val="0"/>
        <w:autoSpaceDN w:val="0"/>
        <w:adjustRightInd w:val="0"/>
        <w:spacing w:before="0" w:beforeAutospacing="0" w:after="0" w:afterAutospacing="0"/>
        <w:ind w:left="714" w:hanging="357"/>
        <w:jc w:val="both"/>
        <w:rPr>
          <w:rFonts w:asciiTheme="minorHAnsi" w:eastAsiaTheme="minorHAnsi" w:hAnsiTheme="minorHAnsi" w:cstheme="minorBidi"/>
          <w:sz w:val="22"/>
          <w:szCs w:val="22"/>
          <w:lang w:val="en-US" w:eastAsia="en-US" w:bidi="en-US"/>
        </w:rPr>
      </w:pPr>
      <w:r w:rsidRPr="00C95F78">
        <w:rPr>
          <w:rFonts w:asciiTheme="minorHAnsi" w:eastAsiaTheme="minorHAnsi" w:hAnsiTheme="minorHAnsi" w:cstheme="minorBidi"/>
          <w:b/>
          <w:sz w:val="22"/>
          <w:szCs w:val="22"/>
          <w:lang w:val="en-US" w:eastAsia="en-US" w:bidi="en-US"/>
        </w:rPr>
        <w:t>Base:</w:t>
      </w:r>
      <w:r w:rsidRPr="00C95F78">
        <w:rPr>
          <w:rFonts w:asciiTheme="minorHAnsi" w:eastAsiaTheme="minorHAnsi" w:hAnsiTheme="minorHAnsi" w:cstheme="minorBidi"/>
          <w:sz w:val="22"/>
          <w:szCs w:val="22"/>
          <w:lang w:val="en-US" w:eastAsia="en-US" w:bidi="en-US"/>
        </w:rPr>
        <w:t xml:space="preserve"> A concrete base, typically 15</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m</w:t>
      </w:r>
      <w:r>
        <w:rPr>
          <w:rFonts w:asciiTheme="minorHAnsi" w:eastAsiaTheme="minorHAnsi" w:hAnsiTheme="minorHAnsi" w:cstheme="minorBidi"/>
          <w:sz w:val="22"/>
          <w:szCs w:val="22"/>
          <w:lang w:val="en-US" w:eastAsia="en-US" w:bidi="en-US"/>
        </w:rPr>
        <w:t>etres</w:t>
      </w:r>
      <w:r w:rsidRPr="00C95F78">
        <w:rPr>
          <w:rFonts w:asciiTheme="minorHAnsi" w:eastAsiaTheme="minorHAnsi" w:hAnsiTheme="minorHAnsi" w:cstheme="minorBidi"/>
          <w:sz w:val="22"/>
          <w:szCs w:val="22"/>
          <w:lang w:val="en-US" w:eastAsia="en-US" w:bidi="en-US"/>
        </w:rPr>
        <w:t xml:space="preserve"> x 15</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m</w:t>
      </w:r>
      <w:r>
        <w:rPr>
          <w:rFonts w:asciiTheme="minorHAnsi" w:eastAsiaTheme="minorHAnsi" w:hAnsiTheme="minorHAnsi" w:cstheme="minorBidi"/>
          <w:sz w:val="22"/>
          <w:szCs w:val="22"/>
          <w:lang w:val="en-US" w:eastAsia="en-US" w:bidi="en-US"/>
        </w:rPr>
        <w:t>etres</w:t>
      </w:r>
      <w:r w:rsidRPr="00C95F78">
        <w:rPr>
          <w:rFonts w:asciiTheme="minorHAnsi" w:eastAsiaTheme="minorHAnsi" w:hAnsiTheme="minorHAnsi" w:cstheme="minorBidi"/>
          <w:sz w:val="22"/>
          <w:szCs w:val="22"/>
          <w:lang w:val="en-US" w:eastAsia="en-US" w:bidi="en-US"/>
        </w:rPr>
        <w:t xml:space="preserve"> x 1</w:t>
      </w:r>
      <w:r>
        <w:rPr>
          <w:rFonts w:asciiTheme="minorHAnsi" w:eastAsiaTheme="minorHAnsi" w:hAnsiTheme="minorHAnsi" w:cstheme="minorBidi"/>
          <w:sz w:val="22"/>
          <w:szCs w:val="22"/>
          <w:lang w:val="en-US" w:eastAsia="en-US" w:bidi="en-US"/>
        </w:rPr>
        <w:t xml:space="preserve"> </w:t>
      </w:r>
      <w:r w:rsidRPr="00C95F78">
        <w:rPr>
          <w:rFonts w:asciiTheme="minorHAnsi" w:eastAsiaTheme="minorHAnsi" w:hAnsiTheme="minorHAnsi" w:cstheme="minorBidi"/>
          <w:sz w:val="22"/>
          <w:szCs w:val="22"/>
          <w:lang w:val="en-US" w:eastAsia="en-US" w:bidi="en-US"/>
        </w:rPr>
        <w:t>m</w:t>
      </w:r>
      <w:r>
        <w:rPr>
          <w:rFonts w:asciiTheme="minorHAnsi" w:eastAsiaTheme="minorHAnsi" w:hAnsiTheme="minorHAnsi" w:cstheme="minorBidi"/>
          <w:sz w:val="22"/>
          <w:szCs w:val="22"/>
          <w:lang w:val="en-US" w:eastAsia="en-US" w:bidi="en-US"/>
        </w:rPr>
        <w:t>etres</w:t>
      </w:r>
      <w:r w:rsidRPr="00C95F78">
        <w:rPr>
          <w:rFonts w:asciiTheme="minorHAnsi" w:eastAsiaTheme="minorHAnsi" w:hAnsiTheme="minorHAnsi" w:cstheme="minorBidi"/>
          <w:sz w:val="22"/>
          <w:szCs w:val="22"/>
          <w:lang w:val="en-US" w:eastAsia="en-US" w:bidi="en-US"/>
        </w:rPr>
        <w:t xml:space="preserve"> which acts as the foundation for the structure.</w:t>
      </w:r>
    </w:p>
    <w:p w:rsidR="002D70DD" w:rsidRDefault="002D70DD" w:rsidP="00BB1A5E">
      <w:pPr>
        <w:spacing w:after="0" w:line="240" w:lineRule="auto"/>
        <w:jc w:val="both"/>
      </w:pPr>
    </w:p>
    <w:p w:rsidR="005F717A" w:rsidRDefault="0029116A" w:rsidP="00BB1A5E">
      <w:pPr>
        <w:autoSpaceDE w:val="0"/>
        <w:autoSpaceDN w:val="0"/>
        <w:adjustRightInd w:val="0"/>
        <w:spacing w:after="0" w:line="240" w:lineRule="auto"/>
        <w:jc w:val="both"/>
      </w:pPr>
      <w:r>
        <w:t xml:space="preserve">Wind towers have increased substantially in size over time, which has brought down the cost of wind power generation </w:t>
      </w:r>
      <w:r w:rsidRPr="0029116A">
        <w:t xml:space="preserve">As illustrated in </w:t>
      </w:r>
      <w:r w:rsidR="003C7AEB">
        <w:fldChar w:fldCharType="begin"/>
      </w:r>
      <w:r w:rsidR="003C7AEB">
        <w:instrText xml:space="preserve"> REF _Ref262978435 \h  \* MERGEFORMAT </w:instrText>
      </w:r>
      <w:r w:rsidR="003C7AEB">
        <w:fldChar w:fldCharType="separate"/>
      </w:r>
      <w:r w:rsidR="0005759A" w:rsidRPr="0005759A">
        <w:t>Figure 52</w:t>
      </w:r>
      <w:r w:rsidR="003C7AEB">
        <w:fldChar w:fldCharType="end"/>
      </w:r>
      <w:r w:rsidRPr="0029116A">
        <w:t>, in the early days of modern wind power</w:t>
      </w:r>
      <w:r>
        <w:t xml:space="preserve"> in the 1980s</w:t>
      </w:r>
      <w:r w:rsidRPr="0029116A">
        <w:t xml:space="preserve">, turbine rotors were </w:t>
      </w:r>
      <w:r>
        <w:t xml:space="preserve">typically </w:t>
      </w:r>
      <w:r w:rsidRPr="0029116A">
        <w:t xml:space="preserve">20 </w:t>
      </w:r>
      <w:r>
        <w:t>metre</w:t>
      </w:r>
      <w:r w:rsidRPr="0029116A">
        <w:t>s in diameter and had a capacity of 20-60 kW. Ten years later, the machines</w:t>
      </w:r>
      <w:r>
        <w:t xml:space="preserve"> had a capacity of 500 kW.</w:t>
      </w:r>
      <w:r w:rsidR="005F717A">
        <w:t xml:space="preserve"> T</w:t>
      </w:r>
      <w:r w:rsidR="005F717A" w:rsidRPr="0029116A">
        <w:t xml:space="preserve">oday offshore turbines can reach up to </w:t>
      </w:r>
      <w:r w:rsidR="005F717A">
        <w:t>5 MW or more, spanning 120 metre</w:t>
      </w:r>
      <w:r w:rsidR="005F717A" w:rsidRPr="0029116A">
        <w:t xml:space="preserve">s. The average size of onshore turbines </w:t>
      </w:r>
      <w:r w:rsidR="005F717A">
        <w:t xml:space="preserve">is smaller, but units of </w:t>
      </w:r>
      <w:r w:rsidR="005F717A" w:rsidRPr="0029116A">
        <w:t>2.5-3</w:t>
      </w:r>
      <w:r w:rsidR="005F717A">
        <w:t>.0</w:t>
      </w:r>
      <w:r w:rsidR="005F717A" w:rsidRPr="0029116A">
        <w:t xml:space="preserve"> MW</w:t>
      </w:r>
      <w:r w:rsidR="005F717A">
        <w:t xml:space="preserve"> are now common</w:t>
      </w:r>
      <w:r w:rsidR="005F717A" w:rsidRPr="0029116A">
        <w:t xml:space="preserve">. </w:t>
      </w:r>
      <w:r w:rsidR="005F717A">
        <w:t>Manufacturers such as General Electric state that 10 MW units may be commercially available in as little as five years.</w:t>
      </w:r>
    </w:p>
    <w:p w:rsidR="00CB1A61" w:rsidRPr="0029116A" w:rsidRDefault="00CB1A61" w:rsidP="00BB1A5E">
      <w:pPr>
        <w:spacing w:after="0" w:line="240" w:lineRule="auto"/>
        <w:jc w:val="both"/>
      </w:pPr>
      <w:r>
        <w:rPr>
          <w:sz w:val="28"/>
          <w:szCs w:val="28"/>
        </w:rPr>
        <w:br w:type="page"/>
      </w:r>
    </w:p>
    <w:p w:rsidR="008A15DF" w:rsidRPr="00B32B5F" w:rsidRDefault="008A15DF" w:rsidP="00BB1A5E">
      <w:pPr>
        <w:pStyle w:val="Caption"/>
        <w:contextualSpacing/>
        <w:jc w:val="center"/>
        <w:rPr>
          <w:sz w:val="28"/>
          <w:szCs w:val="28"/>
        </w:rPr>
      </w:pPr>
      <w:bookmarkStart w:id="87" w:name="_Ref263425184"/>
      <w:bookmarkStart w:id="88" w:name="_Toc263671704"/>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50</w:t>
      </w:r>
      <w:r w:rsidR="00D50FDC" w:rsidRPr="00B32B5F">
        <w:rPr>
          <w:sz w:val="28"/>
          <w:szCs w:val="28"/>
        </w:rPr>
        <w:fldChar w:fldCharType="end"/>
      </w:r>
      <w:bookmarkEnd w:id="87"/>
      <w:r w:rsidRPr="00B32B5F">
        <w:rPr>
          <w:sz w:val="28"/>
          <w:szCs w:val="28"/>
        </w:rPr>
        <w:t xml:space="preserve">: </w:t>
      </w:r>
      <w:r>
        <w:rPr>
          <w:sz w:val="28"/>
          <w:szCs w:val="28"/>
        </w:rPr>
        <w:t>Outline Scheme of Wind Generation Linked to the Grid</w:t>
      </w:r>
      <w:bookmarkEnd w:id="88"/>
    </w:p>
    <w:p w:rsidR="008A15DF" w:rsidRPr="008A15DF" w:rsidRDefault="008A15DF" w:rsidP="00BB1A5E">
      <w:pPr>
        <w:autoSpaceDE w:val="0"/>
        <w:autoSpaceDN w:val="0"/>
        <w:adjustRightInd w:val="0"/>
        <w:spacing w:after="0" w:line="240" w:lineRule="auto"/>
        <w:jc w:val="center"/>
      </w:pPr>
      <w:r>
        <w:rPr>
          <w:noProof/>
          <w:lang w:val="en-US"/>
        </w:rPr>
        <w:drawing>
          <wp:inline distT="0" distB="0" distL="0" distR="0">
            <wp:extent cx="5625375" cy="3438525"/>
            <wp:effectExtent l="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8173"/>
                    <a:stretch>
                      <a:fillRect/>
                    </a:stretch>
                  </pic:blipFill>
                  <pic:spPr bwMode="auto">
                    <a:xfrm>
                      <a:off x="0" y="0"/>
                      <a:ext cx="5625375" cy="3438525"/>
                    </a:xfrm>
                    <a:prstGeom prst="rect">
                      <a:avLst/>
                    </a:prstGeom>
                    <a:noFill/>
                    <a:ln w="9525">
                      <a:noFill/>
                      <a:miter lim="800000"/>
                      <a:headEnd/>
                      <a:tailEnd/>
                    </a:ln>
                  </pic:spPr>
                </pic:pic>
              </a:graphicData>
            </a:graphic>
          </wp:inline>
        </w:drawing>
      </w:r>
    </w:p>
    <w:p w:rsidR="008A15DF" w:rsidRPr="008A15DF" w:rsidRDefault="008A15DF" w:rsidP="00BB1A5E">
      <w:pPr>
        <w:autoSpaceDE w:val="0"/>
        <w:autoSpaceDN w:val="0"/>
        <w:adjustRightInd w:val="0"/>
        <w:spacing w:after="0" w:line="240" w:lineRule="auto"/>
        <w:jc w:val="both"/>
      </w:pPr>
    </w:p>
    <w:p w:rsidR="00795B75" w:rsidRDefault="00795B75" w:rsidP="00BB1A5E">
      <w:pPr>
        <w:autoSpaceDE w:val="0"/>
        <w:autoSpaceDN w:val="0"/>
        <w:adjustRightInd w:val="0"/>
        <w:spacing w:after="0" w:line="240" w:lineRule="auto"/>
        <w:jc w:val="both"/>
      </w:pPr>
    </w:p>
    <w:p w:rsidR="00795B75" w:rsidRDefault="00795B75" w:rsidP="00BB1A5E">
      <w:pPr>
        <w:autoSpaceDE w:val="0"/>
        <w:autoSpaceDN w:val="0"/>
        <w:adjustRightInd w:val="0"/>
        <w:spacing w:after="0" w:line="240" w:lineRule="auto"/>
        <w:jc w:val="both"/>
      </w:pPr>
    </w:p>
    <w:p w:rsidR="00BA0E26" w:rsidRDefault="00795B75" w:rsidP="00BB1A5E">
      <w:pPr>
        <w:pStyle w:val="Caption"/>
        <w:spacing w:after="360"/>
        <w:jc w:val="center"/>
        <w:rPr>
          <w:sz w:val="28"/>
          <w:szCs w:val="28"/>
        </w:rPr>
      </w:pPr>
      <w:bookmarkStart w:id="89" w:name="_Ref263426002"/>
      <w:bookmarkStart w:id="90" w:name="_Toc263671705"/>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51</w:t>
      </w:r>
      <w:r w:rsidR="00D50FDC" w:rsidRPr="00B32B5F">
        <w:rPr>
          <w:sz w:val="28"/>
          <w:szCs w:val="28"/>
        </w:rPr>
        <w:fldChar w:fldCharType="end"/>
      </w:r>
      <w:bookmarkEnd w:id="89"/>
      <w:r w:rsidRPr="00B32B5F">
        <w:rPr>
          <w:sz w:val="28"/>
          <w:szCs w:val="28"/>
        </w:rPr>
        <w:t xml:space="preserve">: </w:t>
      </w:r>
      <w:r>
        <w:rPr>
          <w:sz w:val="28"/>
          <w:szCs w:val="28"/>
        </w:rPr>
        <w:t>The Main Components of a Wind T</w:t>
      </w:r>
      <w:r w:rsidRPr="00B32B5F">
        <w:rPr>
          <w:sz w:val="28"/>
          <w:szCs w:val="28"/>
        </w:rPr>
        <w:t xml:space="preserve">urbine </w:t>
      </w:r>
      <w:r>
        <w:rPr>
          <w:sz w:val="28"/>
          <w:szCs w:val="28"/>
        </w:rPr>
        <w:t>Generator</w:t>
      </w:r>
      <w:bookmarkEnd w:id="90"/>
    </w:p>
    <w:p w:rsidR="00795B75" w:rsidRPr="00C95F78" w:rsidRDefault="003539C4" w:rsidP="003539C4">
      <w:pPr>
        <w:pStyle w:val="Caption"/>
        <w:spacing w:after="360"/>
        <w:jc w:val="center"/>
      </w:pPr>
      <w:r>
        <w:rPr>
          <w:noProof/>
          <w:lang w:val="en-US"/>
        </w:rPr>
        <w:drawing>
          <wp:inline distT="0" distB="0" distL="0" distR="0">
            <wp:extent cx="5076191" cy="400952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076191" cy="4009524"/>
                    </a:xfrm>
                    <a:prstGeom prst="rect">
                      <a:avLst/>
                    </a:prstGeom>
                    <a:noFill/>
                    <a:ln w="9525">
                      <a:noFill/>
                      <a:miter lim="800000"/>
                      <a:headEnd/>
                      <a:tailEnd/>
                    </a:ln>
                  </pic:spPr>
                </pic:pic>
              </a:graphicData>
            </a:graphic>
          </wp:inline>
        </w:drawing>
      </w:r>
    </w:p>
    <w:p w:rsidR="00FC5BDD" w:rsidRPr="00B32B5F" w:rsidRDefault="00FC5BDD" w:rsidP="00BB1A5E">
      <w:pPr>
        <w:pStyle w:val="Caption"/>
        <w:contextualSpacing/>
        <w:jc w:val="center"/>
        <w:rPr>
          <w:sz w:val="28"/>
          <w:szCs w:val="28"/>
        </w:rPr>
      </w:pPr>
      <w:bookmarkStart w:id="91" w:name="_Ref262978435"/>
      <w:bookmarkStart w:id="92" w:name="_Toc263671706"/>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52</w:t>
      </w:r>
      <w:r w:rsidR="00D50FDC" w:rsidRPr="00B32B5F">
        <w:rPr>
          <w:sz w:val="28"/>
          <w:szCs w:val="28"/>
        </w:rPr>
        <w:fldChar w:fldCharType="end"/>
      </w:r>
      <w:bookmarkEnd w:id="91"/>
      <w:r w:rsidRPr="00B32B5F">
        <w:rPr>
          <w:sz w:val="28"/>
          <w:szCs w:val="28"/>
        </w:rPr>
        <w:t xml:space="preserve">: </w:t>
      </w:r>
      <w:r w:rsidR="00486C25">
        <w:rPr>
          <w:sz w:val="28"/>
          <w:szCs w:val="28"/>
        </w:rPr>
        <w:t>The Increasing S</w:t>
      </w:r>
      <w:r>
        <w:rPr>
          <w:sz w:val="28"/>
          <w:szCs w:val="28"/>
        </w:rPr>
        <w:t>ize of Wind Turbines</w:t>
      </w:r>
      <w:bookmarkEnd w:id="92"/>
    </w:p>
    <w:p w:rsidR="00FC5BDD" w:rsidRPr="00C95F78" w:rsidRDefault="00FC5BDD" w:rsidP="00BB1A5E">
      <w:pPr>
        <w:autoSpaceDE w:val="0"/>
        <w:autoSpaceDN w:val="0"/>
        <w:adjustRightInd w:val="0"/>
        <w:spacing w:after="0" w:line="240" w:lineRule="auto"/>
        <w:jc w:val="center"/>
      </w:pPr>
      <w:r w:rsidRPr="00C95F78">
        <w:rPr>
          <w:noProof/>
          <w:lang w:val="en-US"/>
        </w:rPr>
        <w:drawing>
          <wp:inline distT="0" distB="0" distL="0" distR="0">
            <wp:extent cx="5725160" cy="3056890"/>
            <wp:effectExtent l="19050" t="0" r="8890" b="0"/>
            <wp:docPr id="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725160" cy="3056890"/>
                    </a:xfrm>
                    <a:prstGeom prst="rect">
                      <a:avLst/>
                    </a:prstGeom>
                    <a:noFill/>
                    <a:ln w="9525">
                      <a:noFill/>
                      <a:miter lim="800000"/>
                      <a:headEnd/>
                      <a:tailEnd/>
                    </a:ln>
                  </pic:spPr>
                </pic:pic>
              </a:graphicData>
            </a:graphic>
          </wp:inline>
        </w:drawing>
      </w:r>
    </w:p>
    <w:p w:rsidR="00FC5BDD" w:rsidRDefault="00FC5BDD" w:rsidP="00BB1A5E">
      <w:pPr>
        <w:autoSpaceDE w:val="0"/>
        <w:autoSpaceDN w:val="0"/>
        <w:adjustRightInd w:val="0"/>
        <w:spacing w:after="0" w:line="240" w:lineRule="auto"/>
        <w:jc w:val="both"/>
      </w:pPr>
    </w:p>
    <w:p w:rsidR="00FC5BDD" w:rsidRDefault="00FC5BDD" w:rsidP="00BB1A5E">
      <w:pPr>
        <w:autoSpaceDE w:val="0"/>
        <w:autoSpaceDN w:val="0"/>
        <w:adjustRightInd w:val="0"/>
        <w:spacing w:after="0" w:line="240" w:lineRule="auto"/>
        <w:jc w:val="both"/>
      </w:pPr>
    </w:p>
    <w:p w:rsidR="00FC5BDD" w:rsidRDefault="00FC5BDD" w:rsidP="00BB1A5E">
      <w:pPr>
        <w:autoSpaceDE w:val="0"/>
        <w:autoSpaceDN w:val="0"/>
        <w:adjustRightInd w:val="0"/>
        <w:spacing w:after="0" w:line="240" w:lineRule="auto"/>
        <w:jc w:val="both"/>
      </w:pPr>
      <w:r>
        <w:t>The design of the working components of wind towers has</w:t>
      </w:r>
      <w:r w:rsidR="00E476E5">
        <w:t xml:space="preserve"> improved over time</w:t>
      </w:r>
      <w:r>
        <w:t xml:space="preserve">. </w:t>
      </w:r>
      <w:r w:rsidR="00E476E5">
        <w:t>Wind generators are required</w:t>
      </w:r>
      <w:r>
        <w:t xml:space="preserve"> to produce electricity at wind speeds of 4 to 25 metres per second, shutting down above this speed for reasons of safety. Efficiency improvement has focussed on electricity generation at low wind speeds. Reliability, low noise and grid compatibility are essential design features of wind towers.</w:t>
      </w:r>
    </w:p>
    <w:p w:rsidR="00FC5BDD" w:rsidRDefault="00FC5BDD" w:rsidP="00BB1A5E">
      <w:pPr>
        <w:autoSpaceDE w:val="0"/>
        <w:autoSpaceDN w:val="0"/>
        <w:adjustRightInd w:val="0"/>
        <w:spacing w:after="0" w:line="240" w:lineRule="auto"/>
        <w:jc w:val="both"/>
      </w:pPr>
    </w:p>
    <w:p w:rsidR="00AD2966" w:rsidRDefault="005F717A" w:rsidP="00BB1A5E">
      <w:pPr>
        <w:autoSpaceDE w:val="0"/>
        <w:autoSpaceDN w:val="0"/>
        <w:adjustRightInd w:val="0"/>
        <w:spacing w:after="0" w:line="240" w:lineRule="auto"/>
        <w:jc w:val="both"/>
      </w:pPr>
      <w:r>
        <w:t>Most existing wind turbines incorporate a</w:t>
      </w:r>
      <w:r w:rsidR="00E476E5">
        <w:t xml:space="preserve"> gearbox between the rotor and generator</w:t>
      </w:r>
      <w:r w:rsidR="00075D24">
        <w:t>.</w:t>
      </w:r>
      <w:r>
        <w:t xml:space="preserve"> </w:t>
      </w:r>
      <w:r w:rsidR="00AD2966">
        <w:t xml:space="preserve">The gearbox </w:t>
      </w:r>
      <w:r w:rsidR="004E6E2C">
        <w:t>can be</w:t>
      </w:r>
      <w:r w:rsidR="00AD2966">
        <w:t xml:space="preserve"> considered the weakest link in wind turbine design. It is used to</w:t>
      </w:r>
      <w:r>
        <w:t xml:space="preserve"> convert the relatively slow speed of the rotor to</w:t>
      </w:r>
      <w:r w:rsidR="00AD2966">
        <w:t xml:space="preserve"> that required by the generator, and was</w:t>
      </w:r>
      <w:r>
        <w:t xml:space="preserve"> necessary in early constant speed rotor systems</w:t>
      </w:r>
      <w:r w:rsidR="00AD2966">
        <w:t>.</w:t>
      </w:r>
    </w:p>
    <w:p w:rsidR="005F717A" w:rsidRDefault="005F717A" w:rsidP="00BB1A5E">
      <w:pPr>
        <w:autoSpaceDE w:val="0"/>
        <w:autoSpaceDN w:val="0"/>
        <w:adjustRightInd w:val="0"/>
        <w:spacing w:after="0" w:line="240" w:lineRule="auto"/>
        <w:jc w:val="both"/>
      </w:pPr>
    </w:p>
    <w:p w:rsidR="005F717A" w:rsidRDefault="005F717A" w:rsidP="00BB1A5E">
      <w:pPr>
        <w:autoSpaceDE w:val="0"/>
        <w:autoSpaceDN w:val="0"/>
        <w:adjustRightInd w:val="0"/>
        <w:spacing w:after="0" w:line="240" w:lineRule="auto"/>
        <w:jc w:val="both"/>
      </w:pPr>
      <w:r>
        <w:t xml:space="preserve">Using constant speed rotors is inefficient, but </w:t>
      </w:r>
      <w:r w:rsidR="004E6E2C">
        <w:t>is</w:t>
      </w:r>
      <w:r>
        <w:t xml:space="preserve"> necessary </w:t>
      </w:r>
      <w:r w:rsidR="004E6E2C">
        <w:t>if</w:t>
      </w:r>
      <w:r>
        <w:t xml:space="preserve"> there is a direct feed of power to the generator from the grid. Partial decoupling from the grid, allowing the speed of the rotor to vary, came </w:t>
      </w:r>
      <w:r w:rsidR="004E6E2C">
        <w:t>in with the use of</w:t>
      </w:r>
      <w:r>
        <w:t xml:space="preserve"> power electronics, thus reducing the strains on the gearbox. Full decoupling, achieved with modern direct drive synchronous systems, dispenses with the gearbox altogether.</w:t>
      </w:r>
    </w:p>
    <w:p w:rsidR="005F717A" w:rsidRDefault="005F717A" w:rsidP="00BB1A5E">
      <w:pPr>
        <w:autoSpaceDE w:val="0"/>
        <w:autoSpaceDN w:val="0"/>
        <w:adjustRightInd w:val="0"/>
        <w:spacing w:after="0" w:line="240" w:lineRule="auto"/>
        <w:jc w:val="both"/>
      </w:pPr>
    </w:p>
    <w:p w:rsidR="00AD2966" w:rsidRDefault="005F717A" w:rsidP="00BB1A5E">
      <w:pPr>
        <w:autoSpaceDE w:val="0"/>
        <w:autoSpaceDN w:val="0"/>
        <w:adjustRightInd w:val="0"/>
        <w:spacing w:after="0" w:line="240" w:lineRule="auto"/>
        <w:jc w:val="both"/>
      </w:pPr>
      <w:r>
        <w:t>The developments in turbine technology</w:t>
      </w:r>
      <w:r w:rsidR="00AD2966">
        <w:t xml:space="preserve"> have meant the creation of a large market for power electronics, and changes in generator design. The traditional design, used with constant speed rotors and a gearbox, incorporated a squirrel-cage induction generator. The direct drive systems now coming into fashion employ m</w:t>
      </w:r>
      <w:r w:rsidR="00F55E11">
        <w:t>ulti-pole generators</w:t>
      </w:r>
      <w:r w:rsidR="00AD2966">
        <w:t>, with either wire stator windings or permanent magnets.</w:t>
      </w:r>
    </w:p>
    <w:p w:rsidR="00AD2966" w:rsidRDefault="00AD2966" w:rsidP="00BB1A5E">
      <w:pPr>
        <w:autoSpaceDE w:val="0"/>
        <w:autoSpaceDN w:val="0"/>
        <w:adjustRightInd w:val="0"/>
        <w:spacing w:after="0" w:line="240" w:lineRule="auto"/>
        <w:jc w:val="both"/>
      </w:pPr>
    </w:p>
    <w:p w:rsidR="00E60229" w:rsidRDefault="00E60229" w:rsidP="00BB1A5E">
      <w:pPr>
        <w:autoSpaceDE w:val="0"/>
        <w:autoSpaceDN w:val="0"/>
        <w:adjustRightInd w:val="0"/>
        <w:spacing w:after="0" w:line="240" w:lineRule="auto"/>
        <w:jc w:val="both"/>
      </w:pPr>
      <w:r>
        <w:rPr>
          <w:b/>
        </w:rPr>
        <w:t xml:space="preserve">Other System Components: </w:t>
      </w:r>
      <w:r w:rsidR="00537BAC" w:rsidRPr="00537BAC">
        <w:t xml:space="preserve">Apart from the generator and related power electronics, </w:t>
      </w:r>
      <w:r w:rsidR="00537BAC">
        <w:t xml:space="preserve">the main </w:t>
      </w:r>
      <w:r w:rsidR="00537BAC" w:rsidRPr="00537BAC">
        <w:t xml:space="preserve">markets for copper </w:t>
      </w:r>
      <w:r w:rsidR="00537BAC">
        <w:t>are found in transformers or inverters to change voltage from the relatively low voltage coming from the generator to that required for transport, and at some point an inverter changing delivery from DC to AC. Exactly where these components are found depends on system configuration</w:t>
      </w:r>
      <w:r w:rsidR="004E6E2C">
        <w:t>, location (offshore or onshore) and size (wind farm or isolated).</w:t>
      </w:r>
    </w:p>
    <w:p w:rsidR="004E6E2C" w:rsidRDefault="004E6E2C" w:rsidP="00BB1A5E">
      <w:pPr>
        <w:autoSpaceDE w:val="0"/>
        <w:autoSpaceDN w:val="0"/>
        <w:adjustRightInd w:val="0"/>
        <w:spacing w:after="0" w:line="240" w:lineRule="auto"/>
        <w:jc w:val="both"/>
      </w:pPr>
    </w:p>
    <w:p w:rsidR="004E6E2C" w:rsidRPr="00537BAC" w:rsidRDefault="004E6E2C" w:rsidP="00BB1A5E">
      <w:pPr>
        <w:autoSpaceDE w:val="0"/>
        <w:autoSpaceDN w:val="0"/>
        <w:adjustRightInd w:val="0"/>
        <w:spacing w:after="0" w:line="240" w:lineRule="auto"/>
        <w:jc w:val="both"/>
      </w:pPr>
      <w:r>
        <w:t>Cabling is a major element of the system also. A wind tower system with the transformer next to the generator will have MV power cables running from the top to the bottom</w:t>
      </w:r>
      <w:r w:rsidR="000647E8">
        <w:t xml:space="preserve"> of the tower,</w:t>
      </w:r>
      <w:r>
        <w:t xml:space="preserve"> then to a collection point for a number of wind towers and on to the grid substation, or direct to the substation. The tower assembly will incorporate wire harnesses and control / signal cables, while LV power cable are required to power the working parts throughout the system.</w:t>
      </w:r>
    </w:p>
    <w:p w:rsidR="00795B75" w:rsidRPr="00B32B5F" w:rsidRDefault="00795B75" w:rsidP="00BB1A5E">
      <w:pPr>
        <w:pStyle w:val="Caption"/>
        <w:contextualSpacing/>
        <w:jc w:val="center"/>
        <w:rPr>
          <w:sz w:val="28"/>
          <w:szCs w:val="28"/>
        </w:rPr>
      </w:pPr>
      <w:bookmarkStart w:id="93" w:name="_Toc263671707"/>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53</w:t>
      </w:r>
      <w:r w:rsidR="00D50FDC" w:rsidRPr="00B32B5F">
        <w:rPr>
          <w:sz w:val="28"/>
          <w:szCs w:val="28"/>
        </w:rPr>
        <w:fldChar w:fldCharType="end"/>
      </w:r>
      <w:r w:rsidRPr="00B32B5F">
        <w:rPr>
          <w:sz w:val="28"/>
          <w:szCs w:val="28"/>
        </w:rPr>
        <w:t xml:space="preserve">: </w:t>
      </w:r>
      <w:r>
        <w:rPr>
          <w:sz w:val="28"/>
          <w:szCs w:val="28"/>
        </w:rPr>
        <w:t>Cables Employed in a</w:t>
      </w:r>
      <w:r w:rsidR="004E6E2C">
        <w:rPr>
          <w:sz w:val="28"/>
          <w:szCs w:val="28"/>
        </w:rPr>
        <w:t>n Onshore</w:t>
      </w:r>
      <w:r>
        <w:rPr>
          <w:sz w:val="28"/>
          <w:szCs w:val="28"/>
        </w:rPr>
        <w:t xml:space="preserve"> Wind Power System</w:t>
      </w:r>
      <w:bookmarkEnd w:id="93"/>
    </w:p>
    <w:p w:rsidR="008A15DF" w:rsidRPr="008A15DF" w:rsidRDefault="008A15DF" w:rsidP="00BB1A5E">
      <w:pPr>
        <w:autoSpaceDE w:val="0"/>
        <w:autoSpaceDN w:val="0"/>
        <w:adjustRightInd w:val="0"/>
        <w:spacing w:after="0" w:line="240" w:lineRule="auto"/>
        <w:jc w:val="center"/>
      </w:pPr>
      <w:r>
        <w:rPr>
          <w:noProof/>
          <w:lang w:val="en-US"/>
        </w:rPr>
        <w:drawing>
          <wp:inline distT="0" distB="0" distL="0" distR="0">
            <wp:extent cx="5829300" cy="2990850"/>
            <wp:effectExtent l="19050" t="0" r="0" b="0"/>
            <wp:docPr id="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5829300" cy="2990850"/>
                    </a:xfrm>
                    <a:prstGeom prst="rect">
                      <a:avLst/>
                    </a:prstGeom>
                    <a:noFill/>
                    <a:ln w="9525">
                      <a:noFill/>
                      <a:miter lim="800000"/>
                      <a:headEnd/>
                      <a:tailEnd/>
                    </a:ln>
                  </pic:spPr>
                </pic:pic>
              </a:graphicData>
            </a:graphic>
          </wp:inline>
        </w:drawing>
      </w:r>
    </w:p>
    <w:p w:rsidR="008A15DF" w:rsidRPr="008A15DF" w:rsidRDefault="008A15DF" w:rsidP="00BB1A5E">
      <w:pPr>
        <w:autoSpaceDE w:val="0"/>
        <w:autoSpaceDN w:val="0"/>
        <w:adjustRightInd w:val="0"/>
        <w:spacing w:after="0" w:line="240" w:lineRule="auto"/>
        <w:jc w:val="both"/>
      </w:pPr>
    </w:p>
    <w:p w:rsidR="008A15DF" w:rsidRPr="00795B75" w:rsidRDefault="008A15DF" w:rsidP="00BB1A5E">
      <w:pPr>
        <w:autoSpaceDE w:val="0"/>
        <w:autoSpaceDN w:val="0"/>
        <w:adjustRightInd w:val="0"/>
        <w:spacing w:after="0" w:line="240" w:lineRule="auto"/>
        <w:jc w:val="both"/>
        <w:rPr>
          <w:sz w:val="4"/>
          <w:szCs w:val="4"/>
        </w:rPr>
      </w:pPr>
    </w:p>
    <w:p w:rsidR="008A15DF" w:rsidRPr="008A15DF" w:rsidRDefault="008A15DF" w:rsidP="00BB1A5E">
      <w:pPr>
        <w:autoSpaceDE w:val="0"/>
        <w:autoSpaceDN w:val="0"/>
        <w:adjustRightInd w:val="0"/>
        <w:spacing w:after="0" w:line="240" w:lineRule="auto"/>
        <w:jc w:val="both"/>
      </w:pPr>
    </w:p>
    <w:p w:rsidR="00795B75" w:rsidRPr="00FC5BDD" w:rsidRDefault="00FC5BDD" w:rsidP="00BB1A5E">
      <w:pPr>
        <w:autoSpaceDE w:val="0"/>
        <w:autoSpaceDN w:val="0"/>
        <w:adjustRightInd w:val="0"/>
        <w:spacing w:after="0" w:line="240" w:lineRule="auto"/>
        <w:jc w:val="both"/>
      </w:pPr>
      <w:r>
        <w:rPr>
          <w:b/>
        </w:rPr>
        <w:t xml:space="preserve">Wind Farms: </w:t>
      </w:r>
      <w:r>
        <w:t>Wind towers connected to the grid are normally in groups. This allows the components used to connect each tower to the grid</w:t>
      </w:r>
      <w:r w:rsidR="00D52025">
        <w:t xml:space="preserve"> to be shared, thus reducing cost. Grouping of towers also has merit in greatly reducing the time and expense of gaining environmental permits, as where it is possible to site one tower it may be possible to site many of them.</w:t>
      </w:r>
    </w:p>
    <w:p w:rsidR="00795B75" w:rsidRPr="008A15DF" w:rsidRDefault="00795B75" w:rsidP="00BB1A5E">
      <w:pPr>
        <w:autoSpaceDE w:val="0"/>
        <w:autoSpaceDN w:val="0"/>
        <w:adjustRightInd w:val="0"/>
        <w:spacing w:after="0" w:line="240" w:lineRule="auto"/>
        <w:jc w:val="both"/>
      </w:pPr>
    </w:p>
    <w:p w:rsidR="00B32B5F" w:rsidRPr="00C95F78" w:rsidRDefault="00D52025" w:rsidP="00BB1A5E">
      <w:pPr>
        <w:autoSpaceDE w:val="0"/>
        <w:autoSpaceDN w:val="0"/>
        <w:adjustRightInd w:val="0"/>
        <w:spacing w:after="0" w:line="240" w:lineRule="auto"/>
        <w:jc w:val="both"/>
      </w:pPr>
      <w:r>
        <w:t xml:space="preserve">Individual wind towers may or may not contain a transformer, stepping up electricity to medium voltage. Most modern ones do. Where there is a transformer, cables from the wind tower are </w:t>
      </w:r>
      <w:r w:rsidR="007C5944">
        <w:t xml:space="preserve">routed to a central collection point, from which runs </w:t>
      </w:r>
      <w:r>
        <w:t>a single cable (often 35 kV)</w:t>
      </w:r>
      <w:r w:rsidR="007C5944">
        <w:t xml:space="preserve"> </w:t>
      </w:r>
      <w:r>
        <w:t>to the grid substation, where a transformer steps up the electric to grid transmission voltage.</w:t>
      </w:r>
      <w:r w:rsidR="007C5944">
        <w:t xml:space="preserve"> Where there is no transformer in the individual towers, there is a transformer serving a group of turbines at a central collection point.</w:t>
      </w:r>
    </w:p>
    <w:p w:rsidR="00B32B5F" w:rsidRDefault="00B32B5F" w:rsidP="00BB1A5E">
      <w:pPr>
        <w:autoSpaceDE w:val="0"/>
        <w:autoSpaceDN w:val="0"/>
        <w:adjustRightInd w:val="0"/>
        <w:spacing w:after="0" w:line="240" w:lineRule="auto"/>
        <w:jc w:val="both"/>
      </w:pPr>
    </w:p>
    <w:p w:rsidR="00D52025" w:rsidRDefault="00B32B5F" w:rsidP="00BB1A5E">
      <w:pPr>
        <w:autoSpaceDE w:val="0"/>
        <w:autoSpaceDN w:val="0"/>
        <w:adjustRightInd w:val="0"/>
        <w:spacing w:after="0" w:line="240" w:lineRule="auto"/>
        <w:jc w:val="both"/>
      </w:pPr>
      <w:r w:rsidRPr="00C95F78">
        <w:t xml:space="preserve">A large wind farm may consist of a few dozen to several hundred individual wind turbines, and cover an extended area of hundreds of square kilometres. </w:t>
      </w:r>
      <w:r w:rsidR="00D52025">
        <w:t>Most existing farms are onshore, although a high proportion of planned development is offshore.</w:t>
      </w:r>
    </w:p>
    <w:p w:rsidR="00D52025" w:rsidRDefault="00D52025" w:rsidP="00BB1A5E">
      <w:pPr>
        <w:autoSpaceDE w:val="0"/>
        <w:autoSpaceDN w:val="0"/>
        <w:adjustRightInd w:val="0"/>
        <w:spacing w:after="0" w:line="240" w:lineRule="auto"/>
        <w:jc w:val="both"/>
      </w:pPr>
    </w:p>
    <w:p w:rsidR="004C08C8" w:rsidRDefault="004C08C8" w:rsidP="00BB1A5E">
      <w:pPr>
        <w:autoSpaceDE w:val="0"/>
        <w:autoSpaceDN w:val="0"/>
        <w:adjustRightInd w:val="0"/>
        <w:spacing w:after="0" w:line="240" w:lineRule="auto"/>
        <w:jc w:val="both"/>
      </w:pPr>
      <w:r w:rsidRPr="004C08C8">
        <w:t xml:space="preserve">Most existing </w:t>
      </w:r>
      <w:r w:rsidR="00066F64">
        <w:t>onshore wind farms</w:t>
      </w:r>
      <w:r w:rsidRPr="004C08C8">
        <w:t xml:space="preserve"> are collections of wind turbines with 0.69 MW or 1 MW capacity each, although higher rated units are now being installed. It is normal for each wind tower to have its own transformer </w:t>
      </w:r>
      <w:r>
        <w:t xml:space="preserve">with associated switchgear </w:t>
      </w:r>
      <w:r w:rsidRPr="004C08C8">
        <w:t>to raise voltage to 10-35 kV.</w:t>
      </w:r>
      <w:r>
        <w:t xml:space="preserve"> Cables running from each tower are typically buried underground. Where there are no internal transformers in the wind towers, the onshore site will include one or more step up transformers to serve a group of turbines. </w:t>
      </w:r>
    </w:p>
    <w:p w:rsidR="004C08C8" w:rsidRDefault="004C08C8" w:rsidP="00BB1A5E">
      <w:pPr>
        <w:autoSpaceDE w:val="0"/>
        <w:autoSpaceDN w:val="0"/>
        <w:adjustRightInd w:val="0"/>
        <w:spacing w:after="0" w:line="240" w:lineRule="auto"/>
        <w:jc w:val="both"/>
      </w:pPr>
    </w:p>
    <w:p w:rsidR="004C08C8" w:rsidRDefault="004C08C8" w:rsidP="00BB1A5E">
      <w:pPr>
        <w:autoSpaceDE w:val="0"/>
        <w:autoSpaceDN w:val="0"/>
        <w:adjustRightInd w:val="0"/>
        <w:spacing w:after="0" w:line="240" w:lineRule="auto"/>
        <w:jc w:val="both"/>
      </w:pPr>
      <w:r>
        <w:t xml:space="preserve">The electricity </w:t>
      </w:r>
      <w:r w:rsidR="00066F64">
        <w:t>from the wind farm normally has to go through a substation for step up to grid transmission voltage (often 110 kV). Sometimes, it is possible to connect the wind far directly into the MV utility network</w:t>
      </w:r>
      <w:r w:rsidR="00CA7B3E">
        <w:t xml:space="preserve"> in onshore systems</w:t>
      </w:r>
      <w:r w:rsidR="00066F64">
        <w:t>.</w:t>
      </w:r>
    </w:p>
    <w:p w:rsidR="00066F64" w:rsidRDefault="00066F64" w:rsidP="00BB1A5E">
      <w:pPr>
        <w:autoSpaceDE w:val="0"/>
        <w:autoSpaceDN w:val="0"/>
        <w:adjustRightInd w:val="0"/>
        <w:spacing w:after="0" w:line="240" w:lineRule="auto"/>
        <w:jc w:val="both"/>
      </w:pPr>
    </w:p>
    <w:p w:rsidR="00066F64" w:rsidRPr="004C08C8" w:rsidRDefault="00066F64" w:rsidP="00BB1A5E">
      <w:pPr>
        <w:autoSpaceDE w:val="0"/>
        <w:autoSpaceDN w:val="0"/>
        <w:adjustRightInd w:val="0"/>
        <w:spacing w:after="0" w:line="240" w:lineRule="auto"/>
        <w:jc w:val="both"/>
      </w:pPr>
      <w:r>
        <w:t>Offshore wind farms are normally much larger, often with over 100 turbines with ratings up to 3 MW and above. The harsh environment means that the individual components need to be more rugged and corrosion protected than their onshore components. The offshore location means that a connection to shore via a subsea MV cable is necessary, sometimes of a considerable length.</w:t>
      </w:r>
    </w:p>
    <w:p w:rsidR="001B2F41" w:rsidRDefault="001B2F41" w:rsidP="00BB1A5E">
      <w:pPr>
        <w:autoSpaceDE w:val="0"/>
        <w:autoSpaceDN w:val="0"/>
        <w:adjustRightInd w:val="0"/>
        <w:spacing w:after="0" w:line="240" w:lineRule="auto"/>
        <w:jc w:val="both"/>
        <w:rPr>
          <w:b/>
        </w:rPr>
      </w:pPr>
    </w:p>
    <w:p w:rsidR="00B32B5F" w:rsidRPr="00C95F78" w:rsidRDefault="00B32B5F" w:rsidP="00BB1A5E">
      <w:pPr>
        <w:autoSpaceDE w:val="0"/>
        <w:autoSpaceDN w:val="0"/>
        <w:adjustRightInd w:val="0"/>
        <w:spacing w:after="0" w:line="240" w:lineRule="auto"/>
        <w:jc w:val="both"/>
      </w:pPr>
      <w:r w:rsidRPr="00C95F78">
        <w:rPr>
          <w:b/>
        </w:rPr>
        <w:t xml:space="preserve">Small </w:t>
      </w:r>
      <w:r w:rsidR="001B2F41">
        <w:rPr>
          <w:b/>
        </w:rPr>
        <w:t>Wind T</w:t>
      </w:r>
      <w:r w:rsidRPr="00C95F78">
        <w:rPr>
          <w:b/>
        </w:rPr>
        <w:t>urbines</w:t>
      </w:r>
      <w:r w:rsidR="001B2F41">
        <w:rPr>
          <w:b/>
        </w:rPr>
        <w:t xml:space="preserve">: </w:t>
      </w:r>
      <w:r w:rsidRPr="00C95F78">
        <w:t>Small scale</w:t>
      </w:r>
      <w:r w:rsidR="001B2F41">
        <w:t xml:space="preserve"> wind turbines have become </w:t>
      </w:r>
      <w:r w:rsidRPr="00C95F78">
        <w:t>widely available over the past few years</w:t>
      </w:r>
      <w:r w:rsidR="001B2F41">
        <w:t>, in part stimulated by government</w:t>
      </w:r>
      <w:r w:rsidRPr="00C95F78">
        <w:t xml:space="preserve"> grant</w:t>
      </w:r>
      <w:r w:rsidR="001B2F41">
        <w:t>s. Systems vary in capacity from</w:t>
      </w:r>
      <w:r w:rsidRPr="00C95F78">
        <w:t xml:space="preserve"> 100 watts to 6 kilowatts</w:t>
      </w:r>
      <w:r w:rsidR="001B2F41">
        <w:t xml:space="preserve"> for private use, with</w:t>
      </w:r>
      <w:r w:rsidRPr="00C95F78">
        <w:t xml:space="preserve"> larger turbines of up to 50 kilowatts </w:t>
      </w:r>
      <w:r w:rsidR="001B2F41">
        <w:t>being employed for</w:t>
      </w:r>
      <w:r w:rsidRPr="00C95F78">
        <w:t xml:space="preserve"> community projects </w:t>
      </w:r>
      <w:r w:rsidR="001B2F41">
        <w:t>and by business</w:t>
      </w:r>
      <w:r w:rsidRPr="00C95F78">
        <w:t xml:space="preserve">. </w:t>
      </w:r>
      <w:r w:rsidR="001B2F41">
        <w:t>The smallest units of 600 watts may be used for charging batteries for caravans or boats, while the larger private systems are for use to supply all or most of the individual consumer’s electricity needs.</w:t>
      </w:r>
      <w:r w:rsidRPr="00C95F78">
        <w:t xml:space="preserve"> </w:t>
      </w:r>
    </w:p>
    <w:p w:rsidR="00B32B5F" w:rsidRPr="00C95F78" w:rsidRDefault="00B32B5F" w:rsidP="00BB1A5E">
      <w:pPr>
        <w:autoSpaceDE w:val="0"/>
        <w:autoSpaceDN w:val="0"/>
        <w:adjustRightInd w:val="0"/>
        <w:spacing w:after="0" w:line="240" w:lineRule="auto"/>
        <w:jc w:val="both"/>
      </w:pPr>
    </w:p>
    <w:p w:rsidR="001B2F41" w:rsidRDefault="001B2F41" w:rsidP="00BB1A5E">
      <w:pPr>
        <w:autoSpaceDE w:val="0"/>
        <w:autoSpaceDN w:val="0"/>
        <w:adjustRightInd w:val="0"/>
        <w:spacing w:after="0" w:line="240" w:lineRule="auto"/>
        <w:jc w:val="both"/>
      </w:pPr>
      <w:r>
        <w:t>T</w:t>
      </w:r>
      <w:r w:rsidR="00B32B5F" w:rsidRPr="00C95F78">
        <w:t xml:space="preserve">wo types of small scale wind turbines </w:t>
      </w:r>
      <w:r>
        <w:t xml:space="preserve">are </w:t>
      </w:r>
      <w:r w:rsidR="00B32B5F" w:rsidRPr="00C95F78">
        <w:t>available</w:t>
      </w:r>
      <w:r>
        <w:t>,</w:t>
      </w:r>
      <w:r w:rsidR="00B32B5F" w:rsidRPr="00C95F78">
        <w:t xml:space="preserve"> mast moun</w:t>
      </w:r>
      <w:r>
        <w:t>ted and roof mounted. M</w:t>
      </w:r>
      <w:r w:rsidR="00B32B5F" w:rsidRPr="00C95F78">
        <w:t xml:space="preserve">ast mounted systems are generally more cost effective, </w:t>
      </w:r>
      <w:r>
        <w:t xml:space="preserve">but less likely to achieve environmental approval. </w:t>
      </w:r>
      <w:r w:rsidR="00B32B5F" w:rsidRPr="00C95F78">
        <w:t xml:space="preserve">Most small wind turbines generate </w:t>
      </w:r>
      <w:r>
        <w:t>DC electricity, so require a DC/AC inverter for most applications.</w:t>
      </w:r>
    </w:p>
    <w:p w:rsidR="001B2F41" w:rsidRDefault="001B2F41" w:rsidP="00BB1A5E">
      <w:pPr>
        <w:autoSpaceDE w:val="0"/>
        <w:autoSpaceDN w:val="0"/>
        <w:adjustRightInd w:val="0"/>
        <w:spacing w:after="0" w:line="240" w:lineRule="auto"/>
        <w:jc w:val="both"/>
      </w:pPr>
    </w:p>
    <w:p w:rsidR="00C908AD" w:rsidRPr="007A1D02" w:rsidRDefault="00C908AD"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94" w:name="_Toc263688585"/>
      <w:r w:rsidRPr="007A1D02">
        <w:rPr>
          <w:color w:val="365F91" w:themeColor="accent1" w:themeShade="BF"/>
          <w:sz w:val="26"/>
          <w:szCs w:val="26"/>
        </w:rPr>
        <w:t>Market Forecasts by Sector</w:t>
      </w:r>
      <w:bookmarkEnd w:id="94"/>
    </w:p>
    <w:p w:rsidR="00C908AD" w:rsidRDefault="00C908AD" w:rsidP="00BB1A5E">
      <w:pPr>
        <w:spacing w:after="0" w:line="240" w:lineRule="auto"/>
        <w:contextualSpacing/>
        <w:jc w:val="both"/>
      </w:pPr>
    </w:p>
    <w:p w:rsidR="001B2F41" w:rsidRDefault="00A006E9" w:rsidP="00BB1A5E">
      <w:pPr>
        <w:spacing w:after="0" w:line="240" w:lineRule="auto"/>
        <w:contextualSpacing/>
        <w:jc w:val="both"/>
      </w:pPr>
      <w:r>
        <w:t>The wind power market consists of three elements:</w:t>
      </w:r>
    </w:p>
    <w:p w:rsidR="00AE109F" w:rsidRDefault="00AE109F" w:rsidP="00BB1A5E">
      <w:pPr>
        <w:spacing w:after="0" w:line="240" w:lineRule="auto"/>
        <w:contextualSpacing/>
        <w:jc w:val="both"/>
      </w:pPr>
    </w:p>
    <w:p w:rsidR="00AE109F" w:rsidRDefault="00AE109F" w:rsidP="00BB1A5E">
      <w:pPr>
        <w:spacing w:after="0" w:line="240" w:lineRule="auto"/>
        <w:contextualSpacing/>
        <w:jc w:val="both"/>
      </w:pPr>
    </w:p>
    <w:p w:rsidR="00C908AD" w:rsidRPr="00B32B5F" w:rsidRDefault="00C908AD" w:rsidP="00BB1A5E">
      <w:pPr>
        <w:pStyle w:val="Caption"/>
        <w:spacing w:after="120"/>
        <w:contextualSpacing/>
        <w:jc w:val="center"/>
        <w:rPr>
          <w:sz w:val="28"/>
          <w:szCs w:val="28"/>
        </w:rPr>
      </w:pPr>
      <w:bookmarkStart w:id="95" w:name="_Ref263430847"/>
      <w:bookmarkStart w:id="96" w:name="_Toc263671708"/>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54</w:t>
      </w:r>
      <w:r w:rsidR="00D50FDC" w:rsidRPr="00B32B5F">
        <w:rPr>
          <w:sz w:val="28"/>
          <w:szCs w:val="28"/>
        </w:rPr>
        <w:fldChar w:fldCharType="end"/>
      </w:r>
      <w:bookmarkEnd w:id="95"/>
      <w:r w:rsidR="00A006E9">
        <w:rPr>
          <w:sz w:val="28"/>
          <w:szCs w:val="28"/>
        </w:rPr>
        <w:t>: Global Wind Power Capacity</w:t>
      </w:r>
      <w:r w:rsidRPr="00B32B5F">
        <w:rPr>
          <w:sz w:val="28"/>
          <w:szCs w:val="28"/>
        </w:rPr>
        <w:t xml:space="preserve"> 1996-2009</w:t>
      </w:r>
      <w:r w:rsidRPr="000647E8">
        <w:rPr>
          <w:sz w:val="28"/>
          <w:szCs w:val="28"/>
          <w:vertAlign w:val="superscript"/>
        </w:rPr>
        <w:footnoteReference w:id="10"/>
      </w:r>
      <w:bookmarkEnd w:id="96"/>
    </w:p>
    <w:p w:rsidR="00C908AD" w:rsidRDefault="00C908AD" w:rsidP="00BB1A5E">
      <w:pPr>
        <w:spacing w:after="0" w:line="240" w:lineRule="auto"/>
        <w:jc w:val="center"/>
      </w:pPr>
      <w:r w:rsidRPr="00C95F78">
        <w:rPr>
          <w:noProof/>
          <w:lang w:val="en-US"/>
        </w:rPr>
        <w:drawing>
          <wp:inline distT="0" distB="0" distL="0" distR="0">
            <wp:extent cx="5750816" cy="2361062"/>
            <wp:effectExtent l="0" t="0" r="2284"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l="-2407"/>
                    <a:stretch>
                      <a:fillRect/>
                    </a:stretch>
                  </pic:blipFill>
                  <pic:spPr bwMode="auto">
                    <a:xfrm>
                      <a:off x="0" y="0"/>
                      <a:ext cx="5750816" cy="2361062"/>
                    </a:xfrm>
                    <a:prstGeom prst="rect">
                      <a:avLst/>
                    </a:prstGeom>
                    <a:noFill/>
                    <a:ln w="9525">
                      <a:noFill/>
                      <a:miter lim="800000"/>
                      <a:headEnd/>
                      <a:tailEnd/>
                    </a:ln>
                  </pic:spPr>
                </pic:pic>
              </a:graphicData>
            </a:graphic>
          </wp:inline>
        </w:drawing>
      </w:r>
    </w:p>
    <w:p w:rsidR="00CA7B3E" w:rsidRPr="00CA7B3E" w:rsidRDefault="00CA7B3E" w:rsidP="00BB1A5E">
      <w:pPr>
        <w:spacing w:after="0" w:line="240" w:lineRule="auto"/>
        <w:jc w:val="both"/>
        <w:rPr>
          <w:sz w:val="12"/>
          <w:szCs w:val="12"/>
        </w:rPr>
      </w:pPr>
    </w:p>
    <w:p w:rsidR="00CA7B3E" w:rsidRPr="00CA7B3E" w:rsidRDefault="00CA7B3E" w:rsidP="00BB1A5E">
      <w:pPr>
        <w:spacing w:after="0" w:line="240" w:lineRule="auto"/>
        <w:jc w:val="both"/>
        <w:rPr>
          <w:sz w:val="12"/>
          <w:szCs w:val="12"/>
        </w:rPr>
      </w:pPr>
    </w:p>
    <w:p w:rsidR="00C908AD" w:rsidRPr="00B32B5F" w:rsidRDefault="00C908AD" w:rsidP="00BB1A5E">
      <w:pPr>
        <w:pStyle w:val="Caption"/>
        <w:spacing w:after="120"/>
        <w:contextualSpacing/>
        <w:jc w:val="center"/>
        <w:rPr>
          <w:sz w:val="28"/>
          <w:szCs w:val="28"/>
        </w:rPr>
      </w:pPr>
      <w:bookmarkStart w:id="97" w:name="_Ref263431091"/>
      <w:bookmarkStart w:id="98" w:name="_Toc263671709"/>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55</w:t>
      </w:r>
      <w:r w:rsidR="00D50FDC" w:rsidRPr="00B32B5F">
        <w:rPr>
          <w:sz w:val="28"/>
          <w:szCs w:val="28"/>
        </w:rPr>
        <w:fldChar w:fldCharType="end"/>
      </w:r>
      <w:bookmarkEnd w:id="97"/>
      <w:r w:rsidRPr="00B32B5F">
        <w:rPr>
          <w:sz w:val="28"/>
          <w:szCs w:val="28"/>
        </w:rPr>
        <w:t xml:space="preserve">: </w:t>
      </w:r>
      <w:r w:rsidR="00A006E9">
        <w:rPr>
          <w:sz w:val="28"/>
          <w:szCs w:val="28"/>
        </w:rPr>
        <w:t>Annual Installation of Wind Power Capacity</w:t>
      </w:r>
      <w:r w:rsidRPr="00B32B5F">
        <w:rPr>
          <w:sz w:val="28"/>
          <w:szCs w:val="28"/>
        </w:rPr>
        <w:t xml:space="preserve"> 1996-2009</w:t>
      </w:r>
      <w:r w:rsidRPr="000647E8">
        <w:rPr>
          <w:sz w:val="28"/>
          <w:szCs w:val="28"/>
          <w:vertAlign w:val="superscript"/>
        </w:rPr>
        <w:footnoteReference w:id="11"/>
      </w:r>
      <w:bookmarkEnd w:id="98"/>
    </w:p>
    <w:p w:rsidR="00C908AD" w:rsidRPr="00CA7B3E" w:rsidRDefault="00C908AD" w:rsidP="00BB1A5E">
      <w:pPr>
        <w:spacing w:line="240" w:lineRule="auto"/>
        <w:jc w:val="center"/>
        <w:rPr>
          <w:sz w:val="16"/>
          <w:szCs w:val="16"/>
        </w:rPr>
      </w:pPr>
      <w:r w:rsidRPr="00C95F78">
        <w:rPr>
          <w:noProof/>
          <w:lang w:val="en-US"/>
        </w:rPr>
        <w:drawing>
          <wp:inline distT="0" distB="0" distL="0" distR="0">
            <wp:extent cx="5799988" cy="2415654"/>
            <wp:effectExtent l="0" t="0" r="0" b="0"/>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l="-2383"/>
                    <a:stretch>
                      <a:fillRect/>
                    </a:stretch>
                  </pic:blipFill>
                  <pic:spPr bwMode="auto">
                    <a:xfrm>
                      <a:off x="0" y="0"/>
                      <a:ext cx="5799988" cy="2415654"/>
                    </a:xfrm>
                    <a:prstGeom prst="rect">
                      <a:avLst/>
                    </a:prstGeom>
                    <a:noFill/>
                    <a:ln w="9525">
                      <a:noFill/>
                      <a:miter lim="800000"/>
                      <a:headEnd/>
                      <a:tailEnd/>
                    </a:ln>
                  </pic:spPr>
                </pic:pic>
              </a:graphicData>
            </a:graphic>
          </wp:inline>
        </w:drawing>
      </w:r>
    </w:p>
    <w:p w:rsidR="008E6C6E" w:rsidRPr="00C95F78" w:rsidRDefault="008E6C6E" w:rsidP="00BB1A5E">
      <w:pPr>
        <w:pStyle w:val="ListParagraph"/>
        <w:numPr>
          <w:ilvl w:val="0"/>
          <w:numId w:val="27"/>
        </w:numPr>
        <w:autoSpaceDE w:val="0"/>
        <w:autoSpaceDN w:val="0"/>
        <w:adjustRightInd w:val="0"/>
        <w:spacing w:after="120" w:line="240" w:lineRule="auto"/>
        <w:contextualSpacing w:val="0"/>
        <w:jc w:val="both"/>
      </w:pPr>
      <w:r>
        <w:t>New wind farms (onshore or off</w:t>
      </w:r>
      <w:r w:rsidRPr="00C95F78">
        <w:t>shore)</w:t>
      </w:r>
      <w:r w:rsidR="00C253D8">
        <w:t>.</w:t>
      </w:r>
    </w:p>
    <w:p w:rsidR="008E6C6E" w:rsidRPr="00C95F78" w:rsidRDefault="008E6C6E" w:rsidP="00BB1A5E">
      <w:pPr>
        <w:pStyle w:val="ListParagraph"/>
        <w:numPr>
          <w:ilvl w:val="0"/>
          <w:numId w:val="27"/>
        </w:numPr>
        <w:autoSpaceDE w:val="0"/>
        <w:autoSpaceDN w:val="0"/>
        <w:adjustRightInd w:val="0"/>
        <w:spacing w:after="120" w:line="240" w:lineRule="auto"/>
        <w:contextualSpacing w:val="0"/>
        <w:jc w:val="both"/>
      </w:pPr>
      <w:r>
        <w:t>“Repowering”, meaning the r</w:t>
      </w:r>
      <w:r w:rsidRPr="00C95F78">
        <w:t xml:space="preserve">eplacement of existing wind turbines with new and larger </w:t>
      </w:r>
      <w:r>
        <w:t>units</w:t>
      </w:r>
      <w:r w:rsidRPr="00C95F78">
        <w:t>. The older replaced types are appearing on the second hand market and will allow developing countries to start using wind power at lower costs</w:t>
      </w:r>
      <w:r w:rsidR="00C253D8">
        <w:t>.</w:t>
      </w:r>
    </w:p>
    <w:p w:rsidR="008E6C6E" w:rsidRPr="00C95F78" w:rsidRDefault="008E6C6E" w:rsidP="00BB1A5E">
      <w:pPr>
        <w:pStyle w:val="ListParagraph"/>
        <w:numPr>
          <w:ilvl w:val="0"/>
          <w:numId w:val="27"/>
        </w:numPr>
        <w:autoSpaceDE w:val="0"/>
        <w:autoSpaceDN w:val="0"/>
        <w:adjustRightInd w:val="0"/>
        <w:spacing w:after="0" w:line="240" w:lineRule="auto"/>
        <w:jc w:val="both"/>
      </w:pPr>
      <w:r>
        <w:t>S</w:t>
      </w:r>
      <w:r w:rsidRPr="00C95F78">
        <w:t xml:space="preserve">mall </w:t>
      </w:r>
      <w:r>
        <w:t xml:space="preserve">individual </w:t>
      </w:r>
      <w:r w:rsidRPr="00C95F78">
        <w:t xml:space="preserve">wind turbines. </w:t>
      </w:r>
    </w:p>
    <w:p w:rsidR="008E6C6E" w:rsidRDefault="008E6C6E" w:rsidP="00BB1A5E">
      <w:pPr>
        <w:autoSpaceDE w:val="0"/>
        <w:autoSpaceDN w:val="0"/>
        <w:adjustRightInd w:val="0"/>
        <w:spacing w:after="0" w:line="240" w:lineRule="auto"/>
        <w:jc w:val="both"/>
      </w:pPr>
    </w:p>
    <w:p w:rsidR="008E6C6E" w:rsidRDefault="008E6C6E" w:rsidP="00BB1A5E">
      <w:pPr>
        <w:autoSpaceDE w:val="0"/>
        <w:autoSpaceDN w:val="0"/>
        <w:adjustRightInd w:val="0"/>
        <w:spacing w:after="0" w:line="240" w:lineRule="auto"/>
        <w:jc w:val="both"/>
      </w:pPr>
      <w:r>
        <w:t xml:space="preserve">The installation of new wind farms is by far the most important market, but a significant market in repowering is now beginning to emerge in </w:t>
      </w:r>
      <w:r w:rsidRPr="00C95F78">
        <w:t>Germany and Denmark</w:t>
      </w:r>
      <w:r>
        <w:t>, where there is a long-established installed base. Repowering is an attractive option as it sidesteps the need for new environmental approvals. It is set become a far more important part of the overall market in the next decade. Redundant units resulting from repowering are in some cases sold to developing world countries.</w:t>
      </w:r>
    </w:p>
    <w:p w:rsidR="008E6C6E" w:rsidRDefault="008E6C6E" w:rsidP="00BB1A5E">
      <w:pPr>
        <w:autoSpaceDE w:val="0"/>
        <w:autoSpaceDN w:val="0"/>
        <w:adjustRightInd w:val="0"/>
        <w:spacing w:after="0" w:line="240" w:lineRule="auto"/>
        <w:jc w:val="both"/>
      </w:pPr>
    </w:p>
    <w:p w:rsidR="008E6C6E" w:rsidRDefault="008E6C6E" w:rsidP="00BB1A5E">
      <w:pPr>
        <w:autoSpaceDE w:val="0"/>
        <w:autoSpaceDN w:val="0"/>
        <w:adjustRightInd w:val="0"/>
        <w:spacing w:after="0" w:line="240" w:lineRule="auto"/>
        <w:jc w:val="both"/>
      </w:pPr>
      <w:r>
        <w:t xml:space="preserve">As can be seen in </w:t>
      </w:r>
      <w:r w:rsidR="003C7AEB">
        <w:fldChar w:fldCharType="begin"/>
      </w:r>
      <w:r w:rsidR="003C7AEB">
        <w:instrText xml:space="preserve"> REF _Ref263430847 \h  \* MERGEFORMAT </w:instrText>
      </w:r>
      <w:r w:rsidR="003C7AEB">
        <w:fldChar w:fldCharType="separate"/>
      </w:r>
      <w:r w:rsidR="0005759A" w:rsidRPr="0005759A">
        <w:t>Figure 54</w:t>
      </w:r>
      <w:r w:rsidR="003C7AEB">
        <w:fldChar w:fldCharType="end"/>
      </w:r>
      <w:r w:rsidRPr="00EB01A9">
        <w:t>,</w:t>
      </w:r>
      <w:r>
        <w:t xml:space="preserve"> the amount of wind power capacity has increased exponentially, from a very small base of around 0.6 GW in 1996 to around 160 GW in 2009. Despite the growth, a few countries remain disproportionally large in the overall picture, these including Germany (16.3% share), Spain (12.</w:t>
      </w:r>
      <w:r w:rsidR="000647E8">
        <w:t>1% share), and tiny Denmark</w:t>
      </w:r>
      <w:r>
        <w:t xml:space="preserve"> </w:t>
      </w:r>
      <w:r w:rsidR="000647E8">
        <w:t>(</w:t>
      </w:r>
      <w:r>
        <w:t>2.2% share</w:t>
      </w:r>
      <w:r w:rsidR="000647E8">
        <w:t>)</w:t>
      </w:r>
      <w:r>
        <w:t>.</w:t>
      </w:r>
    </w:p>
    <w:p w:rsidR="008E6C6E" w:rsidRDefault="008E6C6E" w:rsidP="00BB1A5E">
      <w:pPr>
        <w:autoSpaceDE w:val="0"/>
        <w:autoSpaceDN w:val="0"/>
        <w:adjustRightInd w:val="0"/>
        <w:spacing w:after="0" w:line="240" w:lineRule="auto"/>
        <w:jc w:val="both"/>
      </w:pPr>
    </w:p>
    <w:p w:rsidR="008E6C6E" w:rsidRDefault="008E6C6E" w:rsidP="00BB1A5E">
      <w:pPr>
        <w:autoSpaceDE w:val="0"/>
        <w:autoSpaceDN w:val="0"/>
        <w:adjustRightInd w:val="0"/>
        <w:spacing w:after="0" w:line="240" w:lineRule="auto"/>
        <w:jc w:val="both"/>
      </w:pPr>
    </w:p>
    <w:p w:rsidR="00B32B5F" w:rsidRPr="00C95F78" w:rsidRDefault="00B32B5F" w:rsidP="00BB1A5E">
      <w:pPr>
        <w:pStyle w:val="Caption"/>
        <w:contextualSpacing/>
        <w:jc w:val="center"/>
        <w:rPr>
          <w:sz w:val="28"/>
          <w:szCs w:val="28"/>
        </w:rPr>
      </w:pPr>
      <w:bookmarkStart w:id="99" w:name="_Toc26367171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56</w:t>
      </w:r>
      <w:r w:rsidR="00D50FDC" w:rsidRPr="00C95F78">
        <w:rPr>
          <w:sz w:val="28"/>
          <w:szCs w:val="28"/>
        </w:rPr>
        <w:fldChar w:fldCharType="end"/>
      </w:r>
      <w:r w:rsidRPr="00C95F78">
        <w:rPr>
          <w:sz w:val="28"/>
          <w:szCs w:val="28"/>
        </w:rPr>
        <w:t xml:space="preserve">: </w:t>
      </w:r>
      <w:r w:rsidR="00AE109F">
        <w:rPr>
          <w:sz w:val="28"/>
          <w:szCs w:val="28"/>
        </w:rPr>
        <w:t>Forecast Wind Generating Capacity in Place</w:t>
      </w:r>
      <w:r w:rsidRPr="00C95F78">
        <w:rPr>
          <w:sz w:val="28"/>
          <w:szCs w:val="28"/>
        </w:rPr>
        <w:t xml:space="preserve"> (GW)</w:t>
      </w:r>
      <w:bookmarkEnd w:id="99"/>
    </w:p>
    <w:p w:rsidR="00B32B5F" w:rsidRPr="00C95F78" w:rsidRDefault="00CF7F5E" w:rsidP="00BB1A5E">
      <w:pPr>
        <w:spacing w:after="0" w:line="240" w:lineRule="auto"/>
        <w:jc w:val="both"/>
      </w:pPr>
      <w:r w:rsidRPr="00CF7F5E">
        <w:rPr>
          <w:noProof/>
          <w:lang w:val="en-US"/>
        </w:rPr>
        <w:drawing>
          <wp:inline distT="0" distB="0" distL="0" distR="0">
            <wp:extent cx="5831840" cy="2179612"/>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B32B5F" w:rsidRPr="00C95F78" w:rsidRDefault="00B32B5F" w:rsidP="00BB1A5E">
      <w:pPr>
        <w:spacing w:after="0" w:line="240" w:lineRule="auto"/>
        <w:contextualSpacing/>
        <w:jc w:val="both"/>
      </w:pPr>
    </w:p>
    <w:p w:rsidR="00AE109F" w:rsidRDefault="00AE109F" w:rsidP="00BB1A5E">
      <w:pPr>
        <w:spacing w:after="0" w:line="240" w:lineRule="auto"/>
        <w:contextualSpacing/>
        <w:jc w:val="both"/>
      </w:pPr>
    </w:p>
    <w:p w:rsidR="00AE109F" w:rsidRPr="00C95F78" w:rsidRDefault="00AE109F" w:rsidP="00BB1A5E">
      <w:pPr>
        <w:pStyle w:val="Caption"/>
        <w:contextualSpacing/>
        <w:jc w:val="center"/>
        <w:rPr>
          <w:sz w:val="28"/>
          <w:szCs w:val="28"/>
        </w:rPr>
      </w:pPr>
      <w:bookmarkStart w:id="100" w:name="_Toc26367171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57</w:t>
      </w:r>
      <w:r w:rsidR="00D50FDC" w:rsidRPr="00C95F78">
        <w:rPr>
          <w:sz w:val="28"/>
          <w:szCs w:val="28"/>
        </w:rPr>
        <w:fldChar w:fldCharType="end"/>
      </w:r>
      <w:r w:rsidRPr="00C95F78">
        <w:rPr>
          <w:sz w:val="28"/>
          <w:szCs w:val="28"/>
        </w:rPr>
        <w:t xml:space="preserve">: </w:t>
      </w:r>
      <w:r>
        <w:rPr>
          <w:sz w:val="28"/>
          <w:szCs w:val="28"/>
        </w:rPr>
        <w:t>Forecast Installation of Wind Generating Capacity</w:t>
      </w:r>
      <w:r w:rsidRPr="00C95F78">
        <w:rPr>
          <w:sz w:val="28"/>
          <w:szCs w:val="28"/>
        </w:rPr>
        <w:t xml:space="preserve"> (GW)</w:t>
      </w:r>
      <w:bookmarkEnd w:id="100"/>
    </w:p>
    <w:p w:rsidR="00AE109F" w:rsidRDefault="00AE109F" w:rsidP="00BB1A5E">
      <w:pPr>
        <w:spacing w:after="0" w:line="240" w:lineRule="auto"/>
        <w:contextualSpacing/>
        <w:jc w:val="both"/>
      </w:pPr>
    </w:p>
    <w:p w:rsidR="00AE109F" w:rsidRDefault="00CF7F5E" w:rsidP="00BB1A5E">
      <w:pPr>
        <w:spacing w:after="0" w:line="240" w:lineRule="auto"/>
        <w:contextualSpacing/>
        <w:jc w:val="both"/>
      </w:pPr>
      <w:r w:rsidRPr="00CF7F5E">
        <w:rPr>
          <w:noProof/>
          <w:lang w:val="en-US"/>
        </w:rPr>
        <w:drawing>
          <wp:inline distT="0" distB="0" distL="0" distR="0">
            <wp:extent cx="5831840" cy="2179612"/>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8E6C6E" w:rsidRDefault="008E6C6E" w:rsidP="00BB1A5E">
      <w:pPr>
        <w:autoSpaceDE w:val="0"/>
        <w:autoSpaceDN w:val="0"/>
        <w:adjustRightInd w:val="0"/>
        <w:spacing w:after="0" w:line="240" w:lineRule="auto"/>
        <w:jc w:val="both"/>
      </w:pPr>
      <w:r>
        <w:t xml:space="preserve">In </w:t>
      </w:r>
      <w:r w:rsidR="003C7AEB">
        <w:fldChar w:fldCharType="begin"/>
      </w:r>
      <w:r w:rsidR="003C7AEB">
        <w:instrText xml:space="preserve"> REF _Ref263431091 \h  \* MERGEFORMAT </w:instrText>
      </w:r>
      <w:r w:rsidR="003C7AEB">
        <w:fldChar w:fldCharType="separate"/>
      </w:r>
      <w:r w:rsidR="0005759A" w:rsidRPr="0005759A">
        <w:t>Figure 55</w:t>
      </w:r>
      <w:r w:rsidR="003C7AEB">
        <w:fldChar w:fldCharType="end"/>
      </w:r>
      <w:r>
        <w:t>, showing annual installation of wind power capacity, we see that the market really began to take off in the mid-2000s. Market size more than trebled between 2005 and 2009. Germany and Spain continued to feature highly in installation in 2009, but the strongest markets were the United States and China, the latter having quickly become the world’s leading market from a very small base just a few years ago.</w:t>
      </w:r>
    </w:p>
    <w:p w:rsidR="008E6C6E" w:rsidRDefault="008E6C6E" w:rsidP="00BB1A5E">
      <w:pPr>
        <w:autoSpaceDE w:val="0"/>
        <w:autoSpaceDN w:val="0"/>
        <w:adjustRightInd w:val="0"/>
        <w:spacing w:after="0" w:line="240" w:lineRule="auto"/>
        <w:jc w:val="both"/>
      </w:pPr>
    </w:p>
    <w:p w:rsidR="00815247" w:rsidRDefault="00815247" w:rsidP="00BB1A5E">
      <w:pPr>
        <w:autoSpaceDE w:val="0"/>
        <w:autoSpaceDN w:val="0"/>
        <w:adjustRightInd w:val="0"/>
        <w:spacing w:after="0" w:line="240" w:lineRule="auto"/>
        <w:jc w:val="both"/>
      </w:pPr>
      <w:r>
        <w:t xml:space="preserve">With ambitious targets for the share of renewable energy being set by government, the prospects for wind energy look good. In Europe, in March 2007 a binding agreement to increase the share of renewable in the total energy mix to 20% by 2020 was made. In January 2008 this was formalised in specific targets by sector and by country, divided between electricity, heat and cooling and transport. The target for electricity was set at 34%, in which wind would have to play a </w:t>
      </w:r>
      <w:r w:rsidR="001A28B8">
        <w:t>dominant</w:t>
      </w:r>
      <w:r>
        <w:t xml:space="preserve"> role.</w:t>
      </w:r>
    </w:p>
    <w:p w:rsidR="00815247" w:rsidRDefault="00815247" w:rsidP="00BB1A5E">
      <w:pPr>
        <w:autoSpaceDE w:val="0"/>
        <w:autoSpaceDN w:val="0"/>
        <w:adjustRightInd w:val="0"/>
        <w:spacing w:after="0" w:line="240" w:lineRule="auto"/>
        <w:jc w:val="both"/>
      </w:pPr>
    </w:p>
    <w:p w:rsidR="00815247" w:rsidRDefault="008E6C6E" w:rsidP="00BB1A5E">
      <w:pPr>
        <w:autoSpaceDE w:val="0"/>
        <w:autoSpaceDN w:val="0"/>
        <w:adjustRightInd w:val="0"/>
        <w:spacing w:after="0" w:line="240" w:lineRule="auto"/>
        <w:jc w:val="both"/>
      </w:pPr>
      <w:r>
        <w:t xml:space="preserve">Our forecasts of wind energy installation are based on those provided by the European Wind Energy Association (EWEA) and the </w:t>
      </w:r>
      <w:r w:rsidR="00815247">
        <w:t>publication “Wind Energy – The F</w:t>
      </w:r>
      <w:r>
        <w:t xml:space="preserve">acts” published by a consortium led by the EWEA. The figures show a quadrupling of global capacity in place from 178 GW in 2010 to 711 GW in 2020. </w:t>
      </w:r>
      <w:r w:rsidR="00815247">
        <w:t>The forecasts are based on the more moderate of the EWEA scenarios, which also looks at a picture where wind energy will achieve a greater penetration given greater support by government.</w:t>
      </w:r>
    </w:p>
    <w:p w:rsidR="00815247" w:rsidRDefault="00815247" w:rsidP="00BB1A5E">
      <w:pPr>
        <w:autoSpaceDE w:val="0"/>
        <w:autoSpaceDN w:val="0"/>
        <w:adjustRightInd w:val="0"/>
        <w:spacing w:after="0" w:line="240" w:lineRule="auto"/>
        <w:jc w:val="both"/>
      </w:pPr>
    </w:p>
    <w:p w:rsidR="008E6C6E" w:rsidRDefault="00815247" w:rsidP="00BB1A5E">
      <w:pPr>
        <w:autoSpaceDE w:val="0"/>
        <w:autoSpaceDN w:val="0"/>
        <w:adjustRightInd w:val="0"/>
        <w:spacing w:after="0" w:line="240" w:lineRule="auto"/>
        <w:jc w:val="both"/>
      </w:pPr>
      <w:r>
        <w:t xml:space="preserve">The forecast show that </w:t>
      </w:r>
      <w:r w:rsidR="008E6C6E">
        <w:t>Europe will continue to be a major contributor to this growth in capacity, with an annual growth rate of 10.8% p.a. Growth in capacity in other areas of the world, however, is expected to exceed that in Europe.</w:t>
      </w:r>
    </w:p>
    <w:p w:rsidR="008E6C6E" w:rsidRDefault="008E6C6E" w:rsidP="00BB1A5E">
      <w:pPr>
        <w:autoSpaceDE w:val="0"/>
        <w:autoSpaceDN w:val="0"/>
        <w:adjustRightInd w:val="0"/>
        <w:spacing w:after="0" w:line="240" w:lineRule="auto"/>
        <w:jc w:val="both"/>
      </w:pPr>
    </w:p>
    <w:p w:rsidR="008E6C6E" w:rsidRDefault="008E6C6E" w:rsidP="00BB1A5E">
      <w:pPr>
        <w:autoSpaceDE w:val="0"/>
        <w:autoSpaceDN w:val="0"/>
        <w:adjustRightInd w:val="0"/>
        <w:spacing w:after="0" w:line="240" w:lineRule="auto"/>
        <w:jc w:val="both"/>
      </w:pPr>
      <w:r>
        <w:t>Such rapid growth in capacity in place will inevitably me</w:t>
      </w:r>
      <w:r w:rsidR="000647E8">
        <w:t>an a high rate of installation.</w:t>
      </w:r>
      <w:r>
        <w:t xml:space="preserve"> We forecast that total installation will treble between 2010 and 2020, from 24 GW to 78 GW per year. This installation includes some replacement, or “repowering”, a market that is forecast to grow in Europe from 0.1 GW in 2010 to 4.2 GW in 2020. All of this repowering will be onshore, offshore repowering only becoming a significant feature of the market after 2020.</w:t>
      </w:r>
    </w:p>
    <w:p w:rsidR="008E6C6E" w:rsidRDefault="008E6C6E" w:rsidP="00BB1A5E">
      <w:pPr>
        <w:autoSpaceDE w:val="0"/>
        <w:autoSpaceDN w:val="0"/>
        <w:adjustRightInd w:val="0"/>
        <w:spacing w:after="0" w:line="240" w:lineRule="auto"/>
        <w:jc w:val="both"/>
      </w:pPr>
    </w:p>
    <w:p w:rsidR="00CD1DB9" w:rsidRDefault="008E6C6E" w:rsidP="00BB1A5E">
      <w:pPr>
        <w:autoSpaceDE w:val="0"/>
        <w:autoSpaceDN w:val="0"/>
        <w:adjustRightInd w:val="0"/>
        <w:spacing w:after="0" w:line="240" w:lineRule="auto"/>
        <w:jc w:val="both"/>
      </w:pPr>
      <w:r>
        <w:t>The location of new wind farms increasingly will be offshore, especially in Europe. In Europe, offshore wind capacity is forecast to grow from just 4.5 GW in 2010 to 40.1 GW in 2020.</w:t>
      </w:r>
      <w:r w:rsidR="00815247">
        <w:t xml:space="preserve"> This will mean a steady increase in the share of offshore installation in the total market in Europe, from less than 15% today to around </w:t>
      </w:r>
      <w:r w:rsidR="00CD1DB9">
        <w:t>25% in 2020. The share would grow further, we</w:t>
      </w:r>
      <w:r w:rsidR="000647E8">
        <w:t xml:space="preserve">re </w:t>
      </w:r>
      <w:r w:rsidR="00CD1DB9">
        <w:t xml:space="preserve">it not for the </w:t>
      </w:r>
      <w:r w:rsidR="000647E8">
        <w:t>increasing</w:t>
      </w:r>
      <w:r w:rsidR="00CD1DB9">
        <w:t xml:space="preserve"> supplement to the </w:t>
      </w:r>
      <w:r w:rsidR="000647E8">
        <w:t xml:space="preserve">onshore </w:t>
      </w:r>
      <w:r w:rsidR="00CD1DB9">
        <w:t>market provided by repowering.</w:t>
      </w:r>
    </w:p>
    <w:p w:rsidR="00CD1DB9" w:rsidRDefault="00CD1DB9" w:rsidP="00BB1A5E">
      <w:pPr>
        <w:autoSpaceDE w:val="0"/>
        <w:autoSpaceDN w:val="0"/>
        <w:adjustRightInd w:val="0"/>
        <w:spacing w:after="0" w:line="240" w:lineRule="auto"/>
        <w:jc w:val="both"/>
      </w:pPr>
    </w:p>
    <w:p w:rsidR="00CD1DB9" w:rsidRDefault="00CD1DB9" w:rsidP="00BB1A5E">
      <w:pPr>
        <w:autoSpaceDE w:val="0"/>
        <w:autoSpaceDN w:val="0"/>
        <w:adjustRightInd w:val="0"/>
        <w:spacing w:after="0" w:line="240" w:lineRule="auto"/>
        <w:jc w:val="both"/>
      </w:pPr>
      <w:r>
        <w:t>With less ageing capacity, repowering will not be a major feature of the wind power market outside Europe, with the possible exception of the United States. Regional markets outside Europe will similarly show a shift in focus offshore, where the wind resource is available. Although a smaller proportion of non-European new installation is likely to be offshore than in Europe, without repowering, the offshore proportion of total installation is likely to be similar to that in Europe (25%).</w:t>
      </w:r>
    </w:p>
    <w:p w:rsidR="00CD1DB9" w:rsidRDefault="00CD1DB9" w:rsidP="00BB1A5E">
      <w:pPr>
        <w:autoSpaceDE w:val="0"/>
        <w:autoSpaceDN w:val="0"/>
        <w:adjustRightInd w:val="0"/>
        <w:spacing w:after="0" w:line="240" w:lineRule="auto"/>
        <w:jc w:val="both"/>
      </w:pPr>
    </w:p>
    <w:p w:rsidR="00C908AD" w:rsidRPr="007A1D02" w:rsidRDefault="00C908AD"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01" w:name="_Toc263688586"/>
      <w:r w:rsidRPr="007A1D02">
        <w:rPr>
          <w:rFonts w:asciiTheme="minorHAnsi" w:hAnsiTheme="minorHAnsi"/>
          <w:color w:val="365F91" w:themeColor="accent1" w:themeShade="BF"/>
          <w:sz w:val="26"/>
          <w:szCs w:val="26"/>
        </w:rPr>
        <w:t>The Impact on Copper</w:t>
      </w:r>
      <w:bookmarkEnd w:id="101"/>
    </w:p>
    <w:p w:rsidR="00C908AD" w:rsidRDefault="00C908AD" w:rsidP="00BB1A5E">
      <w:pPr>
        <w:spacing w:after="0" w:line="240" w:lineRule="auto"/>
        <w:contextualSpacing/>
        <w:jc w:val="both"/>
      </w:pPr>
    </w:p>
    <w:p w:rsidR="00C908AD" w:rsidRPr="00C62E1B" w:rsidRDefault="00C62E1B" w:rsidP="00BB1A5E">
      <w:pPr>
        <w:spacing w:after="0" w:line="240" w:lineRule="auto"/>
        <w:contextualSpacing/>
        <w:jc w:val="both"/>
        <w:rPr>
          <w:noProof/>
        </w:rPr>
      </w:pPr>
      <w:r w:rsidRPr="00C62E1B">
        <w:t xml:space="preserve">Taking into account the technical trends described in Section 3.3.2 and the market trends described in Section 3.3.3, we present our forecasts of copper use in wind power generation by component type in </w:t>
      </w:r>
      <w:r w:rsidR="00F85255">
        <w:t xml:space="preserve">Figure 58 </w:t>
      </w:r>
      <w:r w:rsidRPr="00C62E1B">
        <w:t>and by fabricated product</w:t>
      </w:r>
      <w:r w:rsidR="00F85255">
        <w:t xml:space="preserve"> in Figure 59</w:t>
      </w:r>
      <w:r w:rsidRPr="00C62E1B">
        <w:t>.</w:t>
      </w:r>
    </w:p>
    <w:p w:rsidR="00C908AD" w:rsidRDefault="00C908AD" w:rsidP="00BB1A5E">
      <w:pPr>
        <w:spacing w:after="0" w:line="240" w:lineRule="auto"/>
        <w:contextualSpacing/>
        <w:jc w:val="both"/>
      </w:pPr>
    </w:p>
    <w:p w:rsidR="001A28B8" w:rsidRPr="00223DD8" w:rsidRDefault="00C62E1B" w:rsidP="00223DD8">
      <w:pPr>
        <w:spacing w:after="0" w:line="240" w:lineRule="auto"/>
        <w:contextualSpacing/>
        <w:jc w:val="both"/>
      </w:pPr>
      <w:r>
        <w:t>The figures indicate that wind power generation is already an established market, consuming an estimated 40 kt of cop</w:t>
      </w:r>
      <w:r w:rsidR="00C16C68">
        <w:t>per in Europe in 2010, and 104 kt globally. Over the next ten years, the size of the market globally is expected to treble, with the European market doubling in size and other world regions, especially China, growing faster.</w:t>
      </w:r>
      <w:bookmarkStart w:id="102" w:name="_Ref263493349"/>
      <w:r w:rsidR="001A28B8">
        <w:rPr>
          <w:sz w:val="28"/>
          <w:szCs w:val="28"/>
        </w:rPr>
        <w:br w:type="page"/>
      </w:r>
    </w:p>
    <w:p w:rsidR="00C62E1B" w:rsidRDefault="00C62E1B" w:rsidP="00621010">
      <w:pPr>
        <w:pStyle w:val="Caption"/>
        <w:contextualSpacing/>
        <w:jc w:val="center"/>
        <w:rPr>
          <w:sz w:val="28"/>
          <w:szCs w:val="28"/>
        </w:rPr>
      </w:pPr>
      <w:bookmarkStart w:id="103" w:name="_Toc26367171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58</w:t>
      </w:r>
      <w:r w:rsidR="00D50FDC" w:rsidRPr="00C95F78">
        <w:rPr>
          <w:sz w:val="28"/>
          <w:szCs w:val="28"/>
        </w:rPr>
        <w:fldChar w:fldCharType="end"/>
      </w:r>
      <w:bookmarkEnd w:id="102"/>
      <w:r w:rsidRPr="00C95F78">
        <w:rPr>
          <w:sz w:val="28"/>
          <w:szCs w:val="28"/>
        </w:rPr>
        <w:t xml:space="preserve">: </w:t>
      </w:r>
      <w:r w:rsidRPr="00C62E1B">
        <w:rPr>
          <w:sz w:val="28"/>
          <w:szCs w:val="28"/>
        </w:rPr>
        <w:t>Wind Power Market for Copper by Component Sector</w:t>
      </w:r>
      <w:r>
        <w:rPr>
          <w:sz w:val="28"/>
          <w:szCs w:val="28"/>
        </w:rPr>
        <w:t xml:space="preserve"> (kt Cu)</w:t>
      </w:r>
      <w:bookmarkEnd w:id="103"/>
    </w:p>
    <w:p w:rsidR="00507D62" w:rsidRDefault="00C62E1B" w:rsidP="00BB1A5E">
      <w:pPr>
        <w:spacing w:after="0" w:line="240" w:lineRule="auto"/>
        <w:contextualSpacing/>
        <w:jc w:val="both"/>
      </w:pPr>
      <w:r w:rsidRPr="00C62E1B">
        <w:rPr>
          <w:noProof/>
          <w:lang w:val="en-US"/>
        </w:rPr>
        <w:drawing>
          <wp:inline distT="0" distB="0" distL="0" distR="0">
            <wp:extent cx="5831840" cy="252377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5831840" cy="2523770"/>
                    </a:xfrm>
                    <a:prstGeom prst="rect">
                      <a:avLst/>
                    </a:prstGeom>
                    <a:noFill/>
                    <a:ln w="9525">
                      <a:noFill/>
                      <a:miter lim="800000"/>
                      <a:headEnd/>
                      <a:tailEnd/>
                    </a:ln>
                  </pic:spPr>
                </pic:pic>
              </a:graphicData>
            </a:graphic>
          </wp:inline>
        </w:drawing>
      </w:r>
    </w:p>
    <w:p w:rsidR="00C908AD" w:rsidRDefault="00C908AD" w:rsidP="00BB1A5E">
      <w:pPr>
        <w:spacing w:after="0" w:line="240" w:lineRule="auto"/>
        <w:contextualSpacing/>
        <w:jc w:val="both"/>
      </w:pPr>
    </w:p>
    <w:p w:rsidR="00507D62" w:rsidRDefault="00507D62" w:rsidP="00BB1A5E">
      <w:pPr>
        <w:spacing w:after="0" w:line="240" w:lineRule="auto"/>
        <w:contextualSpacing/>
        <w:jc w:val="both"/>
      </w:pPr>
    </w:p>
    <w:p w:rsidR="00C62E1B" w:rsidRDefault="00C62E1B" w:rsidP="00621010">
      <w:pPr>
        <w:pStyle w:val="Caption"/>
        <w:contextualSpacing/>
        <w:jc w:val="center"/>
        <w:rPr>
          <w:sz w:val="28"/>
          <w:szCs w:val="28"/>
        </w:rPr>
      </w:pPr>
      <w:bookmarkStart w:id="104" w:name="_Ref263493395"/>
      <w:bookmarkStart w:id="105" w:name="_Toc26367171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59</w:t>
      </w:r>
      <w:r w:rsidR="00D50FDC" w:rsidRPr="00C95F78">
        <w:rPr>
          <w:sz w:val="28"/>
          <w:szCs w:val="28"/>
        </w:rPr>
        <w:fldChar w:fldCharType="end"/>
      </w:r>
      <w:bookmarkEnd w:id="104"/>
      <w:r w:rsidRPr="00C95F78">
        <w:rPr>
          <w:sz w:val="28"/>
          <w:szCs w:val="28"/>
        </w:rPr>
        <w:t xml:space="preserve">: </w:t>
      </w:r>
      <w:r w:rsidRPr="00C62E1B">
        <w:rPr>
          <w:sz w:val="28"/>
          <w:szCs w:val="28"/>
        </w:rPr>
        <w:t>Wind Power Market for Copper by Fabricated Product</w:t>
      </w:r>
      <w:r>
        <w:rPr>
          <w:sz w:val="28"/>
          <w:szCs w:val="28"/>
        </w:rPr>
        <w:t xml:space="preserve"> (kt Cu)</w:t>
      </w:r>
      <w:bookmarkEnd w:id="105"/>
    </w:p>
    <w:p w:rsidR="00507D62" w:rsidRDefault="00507D62" w:rsidP="00BB1A5E">
      <w:pPr>
        <w:spacing w:after="0" w:line="240" w:lineRule="auto"/>
        <w:contextualSpacing/>
        <w:jc w:val="both"/>
      </w:pPr>
      <w:r w:rsidRPr="00507D62">
        <w:rPr>
          <w:noProof/>
          <w:lang w:val="en-US"/>
        </w:rPr>
        <w:drawing>
          <wp:inline distT="0" distB="0" distL="0" distR="0">
            <wp:extent cx="5831840" cy="3266234"/>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831840" cy="3266234"/>
                    </a:xfrm>
                    <a:prstGeom prst="rect">
                      <a:avLst/>
                    </a:prstGeom>
                    <a:noFill/>
                    <a:ln w="9525">
                      <a:noFill/>
                      <a:miter lim="800000"/>
                      <a:headEnd/>
                      <a:tailEnd/>
                    </a:ln>
                  </pic:spPr>
                </pic:pic>
              </a:graphicData>
            </a:graphic>
          </wp:inline>
        </w:drawing>
      </w:r>
    </w:p>
    <w:p w:rsidR="00507D62" w:rsidRDefault="00507D62" w:rsidP="00BB1A5E">
      <w:pPr>
        <w:spacing w:after="0" w:line="240" w:lineRule="auto"/>
        <w:contextualSpacing/>
        <w:jc w:val="both"/>
      </w:pPr>
    </w:p>
    <w:p w:rsidR="00507D62" w:rsidRDefault="00507D62" w:rsidP="00BB1A5E">
      <w:pPr>
        <w:spacing w:after="0" w:line="240" w:lineRule="auto"/>
        <w:contextualSpacing/>
        <w:jc w:val="both"/>
      </w:pPr>
    </w:p>
    <w:p w:rsidR="00507D62" w:rsidRDefault="00C16C68" w:rsidP="00BB1A5E">
      <w:pPr>
        <w:spacing w:after="0" w:line="240" w:lineRule="auto"/>
        <w:contextualSpacing/>
        <w:jc w:val="both"/>
      </w:pPr>
      <w:r>
        <w:t>While overall the wind energy sector does not meet the criteria that we use to define an emerging market, certain component groups with it do. Power electronics in wind power for example, a major part of our “Other Equipment” classification, could be said to be an emerging market. We see this growing from 3.6 kt in 2010 to 11.7 kt in 2020. Similarly, finer definition of other component groups may lead to the finding of other “emerging” elements, currently small but set to become significant.</w:t>
      </w:r>
    </w:p>
    <w:p w:rsidR="00C16C68" w:rsidRDefault="00C16C68" w:rsidP="00BB1A5E">
      <w:pPr>
        <w:spacing w:after="0" w:line="240" w:lineRule="auto"/>
        <w:contextualSpacing/>
        <w:jc w:val="both"/>
      </w:pPr>
    </w:p>
    <w:p w:rsidR="00C16C68" w:rsidRDefault="00C16C68" w:rsidP="00BB1A5E">
      <w:pPr>
        <w:spacing w:after="0" w:line="240" w:lineRule="auto"/>
        <w:contextualSpacing/>
        <w:jc w:val="both"/>
      </w:pPr>
      <w:r>
        <w:t xml:space="preserve">The discussion above shows that there are important segment divisions within the wind power market. The most important is between offshore and onshore. Offshore installation, as yet, is a comparatively small market, probably accounting for little more than 10% of installation globally (more in Europe). This is by far the largest segment, </w:t>
      </w:r>
      <w:r w:rsidR="000647E8">
        <w:t>so could be</w:t>
      </w:r>
      <w:r w:rsidR="00EC3E5E">
        <w:t xml:space="preserve"> an important area of focus for the promotion of copper. </w:t>
      </w:r>
    </w:p>
    <w:p w:rsidR="00EC3E5E" w:rsidRDefault="00EC3E5E" w:rsidP="00BB1A5E">
      <w:pPr>
        <w:spacing w:after="0" w:line="240" w:lineRule="auto"/>
        <w:contextualSpacing/>
        <w:jc w:val="both"/>
      </w:pPr>
    </w:p>
    <w:p w:rsidR="00EC3E5E" w:rsidRDefault="00EC3E5E" w:rsidP="00BB1A5E">
      <w:pPr>
        <w:spacing w:after="0" w:line="240" w:lineRule="auto"/>
        <w:contextualSpacing/>
        <w:jc w:val="both"/>
      </w:pPr>
      <w:r>
        <w:t>The offshore market is different in nature from the onshore market. The wind towers and larger and more rugged, while long lengths of technically demanding subsea power cable is required. Some of the early offshore installations were found not to be well enough protected from the harsh environment, and corrosion has been noted. An awareness of this could lead to better corrosion protection in coming years, this being a potential market for coppe</w:t>
      </w:r>
      <w:r w:rsidR="00C253D8">
        <w:t xml:space="preserve">r nickel cladding of the towers. </w:t>
      </w:r>
      <w:r>
        <w:t>This possibility has not been included in our forecasts.</w:t>
      </w:r>
    </w:p>
    <w:p w:rsidR="00C908AD" w:rsidRPr="00C95F78" w:rsidRDefault="00C908AD" w:rsidP="00BB1A5E">
      <w:pPr>
        <w:spacing w:after="0" w:line="240" w:lineRule="auto"/>
        <w:contextualSpacing/>
        <w:jc w:val="both"/>
      </w:pPr>
    </w:p>
    <w:p w:rsidR="004D6789" w:rsidRPr="00C95F78" w:rsidRDefault="00A44342"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06" w:name="_Toc263688587"/>
      <w:r w:rsidRPr="00C95F78">
        <w:rPr>
          <w:rFonts w:asciiTheme="minorHAnsi" w:hAnsiTheme="minorHAnsi"/>
          <w:color w:val="365F91" w:themeColor="accent1" w:themeShade="BF"/>
          <w:sz w:val="30"/>
          <w:szCs w:val="30"/>
        </w:rPr>
        <w:t xml:space="preserve">Solar </w:t>
      </w:r>
      <w:r w:rsidR="001D335A">
        <w:rPr>
          <w:rFonts w:asciiTheme="minorHAnsi" w:hAnsiTheme="minorHAnsi"/>
          <w:color w:val="365F91" w:themeColor="accent1" w:themeShade="BF"/>
          <w:sz w:val="30"/>
          <w:szCs w:val="30"/>
        </w:rPr>
        <w:t>Photovoltaic Electric</w:t>
      </w:r>
      <w:r w:rsidR="00FA139D">
        <w:rPr>
          <w:rFonts w:asciiTheme="minorHAnsi" w:hAnsiTheme="minorHAnsi"/>
          <w:color w:val="365F91" w:themeColor="accent1" w:themeShade="BF"/>
          <w:sz w:val="30"/>
          <w:szCs w:val="30"/>
        </w:rPr>
        <w:t>i</w:t>
      </w:r>
      <w:r w:rsidR="001D335A">
        <w:rPr>
          <w:rFonts w:asciiTheme="minorHAnsi" w:hAnsiTheme="minorHAnsi"/>
          <w:color w:val="365F91" w:themeColor="accent1" w:themeShade="BF"/>
          <w:sz w:val="30"/>
          <w:szCs w:val="30"/>
        </w:rPr>
        <w:t>ty</w:t>
      </w:r>
      <w:r w:rsidRPr="00C95F78">
        <w:rPr>
          <w:rFonts w:asciiTheme="minorHAnsi" w:hAnsiTheme="minorHAnsi"/>
          <w:color w:val="365F91" w:themeColor="accent1" w:themeShade="BF"/>
          <w:sz w:val="30"/>
          <w:szCs w:val="30"/>
        </w:rPr>
        <w:t xml:space="preserve"> Generation</w:t>
      </w:r>
      <w:bookmarkEnd w:id="106"/>
    </w:p>
    <w:p w:rsidR="005A48E2" w:rsidRPr="00C95F78" w:rsidRDefault="005A48E2" w:rsidP="00BB1A5E">
      <w:pPr>
        <w:spacing w:after="0" w:line="240" w:lineRule="auto"/>
        <w:contextualSpacing/>
        <w:jc w:val="both"/>
      </w:pPr>
    </w:p>
    <w:p w:rsidR="004D6789" w:rsidRPr="00B32B5F" w:rsidRDefault="00FE424A"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07" w:name="_Toc263688588"/>
      <w:r w:rsidRPr="00B32B5F">
        <w:rPr>
          <w:rFonts w:asciiTheme="minorHAnsi" w:hAnsiTheme="minorHAnsi"/>
          <w:color w:val="365F91" w:themeColor="accent1" w:themeShade="BF"/>
          <w:sz w:val="26"/>
          <w:szCs w:val="26"/>
        </w:rPr>
        <w:t>Sector Background</w:t>
      </w:r>
      <w:bookmarkEnd w:id="107"/>
    </w:p>
    <w:p w:rsidR="00B32B5F" w:rsidRDefault="00B32B5F" w:rsidP="00BB1A5E">
      <w:pPr>
        <w:spacing w:after="0" w:line="240" w:lineRule="auto"/>
        <w:jc w:val="both"/>
      </w:pPr>
    </w:p>
    <w:p w:rsidR="001D335A" w:rsidRDefault="001A153C" w:rsidP="00BB1A5E">
      <w:pPr>
        <w:spacing w:after="0" w:line="240" w:lineRule="auto"/>
        <w:jc w:val="both"/>
      </w:pPr>
      <w:r w:rsidRPr="00C95F78">
        <w:t>Global energy consumption is estimated to be around 470 EJ (exajoules) per year. The sun delivers to the earth almost 4 million EJ of energy. So</w:t>
      </w:r>
      <w:r w:rsidR="001D335A">
        <w:t>,</w:t>
      </w:r>
      <w:r w:rsidRPr="00C95F78">
        <w:t xml:space="preserve"> in theory</w:t>
      </w:r>
      <w:r w:rsidR="001D335A">
        <w:t>,</w:t>
      </w:r>
      <w:r w:rsidRPr="00C95F78">
        <w:t xml:space="preserve"> the sun could provide at least eight thousand times the energy we nee</w:t>
      </w:r>
      <w:r w:rsidR="001D335A">
        <w:t xml:space="preserve">d. </w:t>
      </w:r>
    </w:p>
    <w:p w:rsidR="001D335A" w:rsidRDefault="001D335A" w:rsidP="00BB1A5E">
      <w:pPr>
        <w:spacing w:after="0" w:line="240" w:lineRule="auto"/>
        <w:jc w:val="both"/>
      </w:pPr>
    </w:p>
    <w:p w:rsidR="00FA139D" w:rsidRDefault="001D335A" w:rsidP="00BB1A5E">
      <w:pPr>
        <w:spacing w:after="0" w:line="240" w:lineRule="auto"/>
        <w:jc w:val="both"/>
      </w:pPr>
      <w:r>
        <w:t xml:space="preserve">The difficulty is in finding ways to capture and store this energy, and convert it into a useable form. </w:t>
      </w:r>
      <w:r w:rsidR="00FA139D">
        <w:t>Solar technologies can be broadly characteris</w:t>
      </w:r>
      <w:r w:rsidR="001A153C" w:rsidRPr="00C95F78">
        <w:t>ed as either passive or active</w:t>
      </w:r>
      <w:r>
        <w:t>,</w:t>
      </w:r>
      <w:r w:rsidR="001A153C" w:rsidRPr="00C95F78">
        <w:t xml:space="preserve"> depending on the way </w:t>
      </w:r>
      <w:r>
        <w:t xml:space="preserve">in which </w:t>
      </w:r>
      <w:r w:rsidR="001A153C" w:rsidRPr="00C95F78">
        <w:t xml:space="preserve">they capture, convert and distribute </w:t>
      </w:r>
      <w:r>
        <w:t>the sun’s energy</w:t>
      </w:r>
      <w:r w:rsidR="00FA139D">
        <w:t>. The primary active solar technology</w:t>
      </w:r>
      <w:r w:rsidR="001A153C" w:rsidRPr="00C95F78">
        <w:t xml:space="preserve"> use</w:t>
      </w:r>
      <w:r w:rsidR="00FA139D">
        <w:t>s</w:t>
      </w:r>
      <w:r w:rsidR="001A153C" w:rsidRPr="00C95F78">
        <w:t xml:space="preserve"> photovoltaic </w:t>
      </w:r>
      <w:r w:rsidR="00FA139D">
        <w:t xml:space="preserve">(PV) </w:t>
      </w:r>
      <w:r w:rsidR="001A153C" w:rsidRPr="00C95F78">
        <w:t>panels, pumps, and fans to convert sunlight into useful outputs</w:t>
      </w:r>
      <w:r w:rsidR="00FA139D">
        <w:t>, either electricity or heat</w:t>
      </w:r>
      <w:r w:rsidR="001A153C" w:rsidRPr="00C95F78">
        <w:t>.</w:t>
      </w:r>
      <w:r w:rsidR="00FA139D">
        <w:t xml:space="preserve"> We focus on solar PV technology in this Section.</w:t>
      </w:r>
    </w:p>
    <w:p w:rsidR="00FA139D" w:rsidRDefault="00FA139D" w:rsidP="00BB1A5E">
      <w:pPr>
        <w:spacing w:after="0" w:line="240" w:lineRule="auto"/>
        <w:jc w:val="both"/>
      </w:pPr>
    </w:p>
    <w:p w:rsidR="00FA139D" w:rsidRPr="00E41D6C" w:rsidRDefault="00FA139D" w:rsidP="00BB1A5E">
      <w:pPr>
        <w:spacing w:after="0" w:line="240" w:lineRule="auto"/>
        <w:jc w:val="both"/>
      </w:pPr>
      <w:r>
        <w:t xml:space="preserve">As </w:t>
      </w:r>
      <w:r w:rsidRPr="00E41D6C">
        <w:t xml:space="preserve">an alternative to solar PV, the sun’s energy can be actively used using </w:t>
      </w:r>
      <w:hyperlink r:id="rId73" w:tooltip="Concentrating solar power" w:history="1">
        <w:r w:rsidRPr="00E41D6C">
          <w:t>concentrating solar power</w:t>
        </w:r>
      </w:hyperlink>
      <w:r w:rsidRPr="00E41D6C">
        <w:t xml:space="preserve"> (CSP). Here, the sun’s energy is used to boil water</w:t>
      </w:r>
      <w:r w:rsidR="00E41D6C" w:rsidRPr="00E41D6C">
        <w:t>,</w:t>
      </w:r>
      <w:r w:rsidRPr="00E41D6C">
        <w:t xml:space="preserve"> whic</w:t>
      </w:r>
      <w:r w:rsidR="00E41D6C" w:rsidRPr="00E41D6C">
        <w:t>h is then used to provide power in the form of electricity or heat. This is a relatively minor technology, considered alongside other existing and emerging power generation technologies in Section 3.5. CSP is, perhaps, one of the more interesting of these, however, in that it is linked to recent developments in desalination, discussed separately in Section 3.6.</w:t>
      </w:r>
    </w:p>
    <w:p w:rsidR="00FA139D" w:rsidRPr="00E41D6C" w:rsidRDefault="00FA139D" w:rsidP="00BB1A5E">
      <w:pPr>
        <w:spacing w:after="0" w:line="240" w:lineRule="auto"/>
        <w:jc w:val="both"/>
      </w:pPr>
    </w:p>
    <w:p w:rsidR="004D6789" w:rsidRPr="00E41D6C" w:rsidRDefault="00E41D6C" w:rsidP="00BB1A5E">
      <w:pPr>
        <w:spacing w:after="0" w:line="240" w:lineRule="auto"/>
        <w:jc w:val="both"/>
      </w:pPr>
      <w:r w:rsidRPr="00E41D6C">
        <w:t>Aside from the active solar technologies, p</w:t>
      </w:r>
      <w:r w:rsidR="001A153C" w:rsidRPr="00E41D6C">
        <w:t xml:space="preserve">assive solar techniques </w:t>
      </w:r>
      <w:r w:rsidRPr="00E41D6C">
        <w:t>do not require working electrical or mechanical elements. They include the selection of</w:t>
      </w:r>
      <w:r w:rsidR="001A153C" w:rsidRPr="00E41D6C">
        <w:t xml:space="preserve"> materials with </w:t>
      </w:r>
      <w:r w:rsidR="0087697B" w:rsidRPr="00E41D6C">
        <w:t>favourable</w:t>
      </w:r>
      <w:r w:rsidR="001A153C" w:rsidRPr="00E41D6C">
        <w:t xml:space="preserve"> thermal properties, designing spaces that naturally circulate air, and referencing the position of a </w:t>
      </w:r>
      <w:r w:rsidR="00FA139D" w:rsidRPr="00E41D6C">
        <w:t>building to the s</w:t>
      </w:r>
      <w:r w:rsidR="001A153C" w:rsidRPr="00E41D6C">
        <w:t xml:space="preserve">un. </w:t>
      </w:r>
      <w:r w:rsidRPr="00E41D6C">
        <w:t>Some consideration of this, together with active technologies for distributing renewable sourced heat in buildings, is given in Section 4 of this Report.</w:t>
      </w:r>
      <w:r w:rsidR="001A153C" w:rsidRPr="00E41D6C">
        <w:t xml:space="preserve"> </w:t>
      </w:r>
    </w:p>
    <w:p w:rsidR="00FA139D" w:rsidRPr="00E41D6C" w:rsidRDefault="00FA139D" w:rsidP="00BB1A5E">
      <w:pPr>
        <w:spacing w:after="0" w:line="240" w:lineRule="auto"/>
        <w:jc w:val="both"/>
      </w:pPr>
    </w:p>
    <w:p w:rsidR="001A153C" w:rsidRPr="00E41D6C" w:rsidRDefault="007A1D02" w:rsidP="00BB1A5E">
      <w:pPr>
        <w:pStyle w:val="Heading3"/>
        <w:numPr>
          <w:ilvl w:val="2"/>
          <w:numId w:val="1"/>
        </w:numPr>
        <w:spacing w:before="0" w:line="240" w:lineRule="auto"/>
        <w:ind w:left="0" w:firstLine="0"/>
        <w:jc w:val="both"/>
        <w:rPr>
          <w:rFonts w:asciiTheme="minorHAnsi" w:hAnsiTheme="minorHAnsi"/>
          <w:color w:val="365F91" w:themeColor="accent1" w:themeShade="BF"/>
          <w:sz w:val="26"/>
          <w:szCs w:val="26"/>
        </w:rPr>
      </w:pPr>
      <w:bookmarkStart w:id="108" w:name="_Toc263688589"/>
      <w:r w:rsidRPr="00E41D6C">
        <w:rPr>
          <w:rFonts w:asciiTheme="minorHAnsi" w:hAnsiTheme="minorHAnsi"/>
          <w:color w:val="365F91" w:themeColor="accent1" w:themeShade="BF"/>
          <w:sz w:val="26"/>
          <w:szCs w:val="26"/>
        </w:rPr>
        <w:t xml:space="preserve">Alternative Technical </w:t>
      </w:r>
      <w:r w:rsidR="001268A7" w:rsidRPr="00E41D6C">
        <w:rPr>
          <w:rFonts w:asciiTheme="minorHAnsi" w:hAnsiTheme="minorHAnsi"/>
          <w:color w:val="365F91" w:themeColor="accent1" w:themeShade="BF"/>
          <w:sz w:val="26"/>
          <w:szCs w:val="26"/>
        </w:rPr>
        <w:t xml:space="preserve">and Market </w:t>
      </w:r>
      <w:r w:rsidRPr="00E41D6C">
        <w:rPr>
          <w:rFonts w:asciiTheme="minorHAnsi" w:hAnsiTheme="minorHAnsi"/>
          <w:color w:val="365F91" w:themeColor="accent1" w:themeShade="BF"/>
          <w:sz w:val="26"/>
          <w:szCs w:val="26"/>
        </w:rPr>
        <w:t>Solutions</w:t>
      </w:r>
      <w:bookmarkEnd w:id="108"/>
    </w:p>
    <w:p w:rsidR="007A1D02" w:rsidRPr="00E41D6C" w:rsidRDefault="007A1D02" w:rsidP="00BB1A5E">
      <w:pPr>
        <w:spacing w:after="0" w:line="240" w:lineRule="auto"/>
        <w:jc w:val="both"/>
      </w:pPr>
    </w:p>
    <w:p w:rsidR="00AE0AA7" w:rsidRDefault="00AE0AA7" w:rsidP="00BB1A5E">
      <w:pPr>
        <w:spacing w:after="0" w:line="240" w:lineRule="auto"/>
        <w:jc w:val="both"/>
      </w:pPr>
      <w:r>
        <w:t xml:space="preserve">System Configuration: Solar PV systems are highly scalable, ranging from the small </w:t>
      </w:r>
      <w:r w:rsidR="00436E9D">
        <w:t>rooftop system at the residential premise to large solar PV parks with 50 MW or more capacity. The smaller premise or community-based systems generally range in capacity from 10 kW to 1 MW, and are not usually connected to the grid.</w:t>
      </w:r>
    </w:p>
    <w:p w:rsidR="00436E9D" w:rsidRDefault="00436E9D" w:rsidP="00BB1A5E">
      <w:pPr>
        <w:spacing w:after="0" w:line="240" w:lineRule="auto"/>
        <w:jc w:val="both"/>
      </w:pPr>
    </w:p>
    <w:p w:rsidR="008557D2" w:rsidRPr="00436E9D" w:rsidRDefault="00436E9D" w:rsidP="00BB1A5E">
      <w:pPr>
        <w:spacing w:after="0" w:line="240" w:lineRule="auto"/>
        <w:jc w:val="both"/>
      </w:pPr>
      <w:r>
        <w:t>The core of the system, the PV cell, is small. PV cells convert</w:t>
      </w:r>
      <w:r w:rsidRPr="00E41D6C">
        <w:t xml:space="preserve"> </w:t>
      </w:r>
      <w:hyperlink r:id="rId74" w:tooltip="Solar radiation" w:history="1">
        <w:r w:rsidRPr="00E41D6C">
          <w:t>solar radiation</w:t>
        </w:r>
      </w:hyperlink>
      <w:r w:rsidRPr="00E41D6C">
        <w:t xml:space="preserve"> into </w:t>
      </w:r>
      <w:hyperlink r:id="rId75" w:tooltip="Direct current" w:history="1">
        <w:r w:rsidRPr="00E41D6C">
          <w:t>direct current</w:t>
        </w:r>
      </w:hyperlink>
      <w:r w:rsidRPr="00E41D6C">
        <w:t xml:space="preserve"> </w:t>
      </w:r>
      <w:hyperlink r:id="rId76" w:tooltip="Electricity" w:history="1">
        <w:r w:rsidRPr="00E41D6C">
          <w:t>electricity</w:t>
        </w:r>
      </w:hyperlink>
      <w:r w:rsidRPr="00E41D6C">
        <w:t>.</w:t>
      </w:r>
      <w:r>
        <w:t xml:space="preserve"> The larger the system, the more PV cells there are, the more complex the way in which they are arranged. In a PV system, PV cells are grouped together in modules. These modules are them connected together in arrays. In larger systems, connected to the grid, arrays can be </w:t>
      </w:r>
      <w:r w:rsidR="00D84B47">
        <w:t>fixed toget</w:t>
      </w:r>
      <w:r>
        <w:t xml:space="preserve">her to form a number of sub-fields, from which electricity is collected and transported towards the grid connection </w:t>
      </w:r>
      <w:r w:rsidRPr="00436E9D">
        <w:t xml:space="preserve">(see </w:t>
      </w:r>
      <w:r w:rsidR="003C7AEB">
        <w:fldChar w:fldCharType="begin"/>
      </w:r>
      <w:r w:rsidR="003C7AEB">
        <w:instrText xml:space="preserve"> REF _Ref263500211 \h  \* MERGEFORMAT </w:instrText>
      </w:r>
      <w:r w:rsidR="003C7AEB">
        <w:fldChar w:fldCharType="separate"/>
      </w:r>
      <w:r w:rsidR="0005759A" w:rsidRPr="0005759A">
        <w:t xml:space="preserve">Figure </w:t>
      </w:r>
      <w:r w:rsidR="0005759A" w:rsidRPr="0005759A">
        <w:rPr>
          <w:noProof/>
        </w:rPr>
        <w:t>60</w:t>
      </w:r>
      <w:r w:rsidR="003C7AEB">
        <w:fldChar w:fldCharType="end"/>
      </w:r>
      <w:r w:rsidRPr="00436E9D">
        <w:t>).</w:t>
      </w:r>
    </w:p>
    <w:p w:rsidR="008557D2" w:rsidRDefault="008557D2" w:rsidP="00BB1A5E">
      <w:pPr>
        <w:spacing w:after="0" w:line="240" w:lineRule="auto"/>
        <w:jc w:val="both"/>
      </w:pPr>
    </w:p>
    <w:p w:rsidR="00DC4DC4" w:rsidRDefault="00DC4DC4" w:rsidP="00621010">
      <w:pPr>
        <w:pStyle w:val="Caption"/>
        <w:contextualSpacing/>
        <w:jc w:val="center"/>
        <w:rPr>
          <w:sz w:val="28"/>
          <w:szCs w:val="28"/>
        </w:rPr>
      </w:pPr>
      <w:bookmarkStart w:id="109" w:name="_Ref263500211"/>
      <w:bookmarkStart w:id="110" w:name="_Toc26367171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60</w:t>
      </w:r>
      <w:r w:rsidR="00D50FDC" w:rsidRPr="00C95F78">
        <w:rPr>
          <w:sz w:val="28"/>
          <w:szCs w:val="28"/>
        </w:rPr>
        <w:fldChar w:fldCharType="end"/>
      </w:r>
      <w:bookmarkEnd w:id="109"/>
      <w:r w:rsidRPr="00C95F78">
        <w:rPr>
          <w:sz w:val="28"/>
          <w:szCs w:val="28"/>
        </w:rPr>
        <w:t xml:space="preserve">: </w:t>
      </w:r>
      <w:r>
        <w:rPr>
          <w:sz w:val="28"/>
          <w:szCs w:val="28"/>
        </w:rPr>
        <w:t>Layout of a Typical Solar PV Park</w:t>
      </w:r>
      <w:r>
        <w:rPr>
          <w:rStyle w:val="FootnoteReference"/>
          <w:sz w:val="28"/>
          <w:szCs w:val="28"/>
        </w:rPr>
        <w:footnoteReference w:id="12"/>
      </w:r>
      <w:bookmarkEnd w:id="110"/>
    </w:p>
    <w:p w:rsidR="00DC4DC4" w:rsidRDefault="00DC4DC4" w:rsidP="00BB1A5E">
      <w:pPr>
        <w:spacing w:after="0" w:line="240" w:lineRule="auto"/>
        <w:jc w:val="both"/>
      </w:pPr>
    </w:p>
    <w:p w:rsidR="00DC4DC4" w:rsidRDefault="00DC4DC4" w:rsidP="00BB1A5E">
      <w:pPr>
        <w:spacing w:after="0" w:line="240" w:lineRule="auto"/>
        <w:jc w:val="both"/>
      </w:pPr>
      <w:r>
        <w:rPr>
          <w:noProof/>
          <w:lang w:val="en-US"/>
        </w:rPr>
        <w:drawing>
          <wp:inline distT="0" distB="0" distL="0" distR="0">
            <wp:extent cx="5830570" cy="349123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830570" cy="3491230"/>
                    </a:xfrm>
                    <a:prstGeom prst="rect">
                      <a:avLst/>
                    </a:prstGeom>
                    <a:noFill/>
                    <a:ln w="9525">
                      <a:noFill/>
                      <a:miter lim="800000"/>
                      <a:headEnd/>
                      <a:tailEnd/>
                    </a:ln>
                  </pic:spPr>
                </pic:pic>
              </a:graphicData>
            </a:graphic>
          </wp:inline>
        </w:drawing>
      </w:r>
    </w:p>
    <w:p w:rsidR="00DC4DC4" w:rsidRDefault="00DC4DC4" w:rsidP="00BB1A5E">
      <w:pPr>
        <w:spacing w:after="0" w:line="240" w:lineRule="auto"/>
        <w:jc w:val="both"/>
      </w:pPr>
    </w:p>
    <w:p w:rsidR="008557D2" w:rsidRDefault="008557D2" w:rsidP="00BB1A5E">
      <w:pPr>
        <w:spacing w:after="0" w:line="240" w:lineRule="auto"/>
        <w:jc w:val="both"/>
      </w:pPr>
    </w:p>
    <w:p w:rsidR="00DC4DC4" w:rsidRDefault="00DC4DC4" w:rsidP="00BB1A5E">
      <w:pPr>
        <w:spacing w:after="0" w:line="240" w:lineRule="auto"/>
        <w:jc w:val="both"/>
      </w:pPr>
      <w:r>
        <w:t xml:space="preserve">The solar cells are the most expensive element of the PV system, but not the one generally containing copper. The copper comes in the cables connecting the modules (module cable), the arrays (array cable) and the sub-fields (field cable). </w:t>
      </w:r>
    </w:p>
    <w:p w:rsidR="00DC4DC4" w:rsidRDefault="00DC4DC4" w:rsidP="00BB1A5E">
      <w:pPr>
        <w:spacing w:after="0" w:line="240" w:lineRule="auto"/>
        <w:jc w:val="both"/>
      </w:pPr>
    </w:p>
    <w:p w:rsidR="00DC4DC4" w:rsidRDefault="00DC4DC4" w:rsidP="00BB1A5E">
      <w:pPr>
        <w:spacing w:after="0" w:line="240" w:lineRule="auto"/>
        <w:jc w:val="both"/>
      </w:pPr>
      <w:r>
        <w:t>Whether the system is connected to the grid or not, the electricity collected from the PV cells needs to be converted from DC to AC and stepped up in voltage. This means that inverters are required. These are expensive items, containing copper windings and power electronics.</w:t>
      </w:r>
    </w:p>
    <w:p w:rsidR="00DC4DC4" w:rsidRDefault="00DC4DC4" w:rsidP="00BB1A5E">
      <w:pPr>
        <w:spacing w:after="0" w:line="240" w:lineRule="auto"/>
        <w:jc w:val="both"/>
      </w:pPr>
    </w:p>
    <w:p w:rsidR="00B94DE3" w:rsidRPr="00C95F78" w:rsidRDefault="00DC4DC4" w:rsidP="00BB1A5E">
      <w:pPr>
        <w:spacing w:after="0" w:line="240" w:lineRule="auto"/>
        <w:jc w:val="both"/>
      </w:pPr>
      <w:r>
        <w:rPr>
          <w:b/>
        </w:rPr>
        <w:t>Solar Cells:</w:t>
      </w:r>
      <w:r>
        <w:t xml:space="preserve"> The falling cost and rising efficiency of solar cells has been key to the commercialisation of solar PV. There are a number of competing technologies for solar cells.</w:t>
      </w:r>
      <w:r w:rsidR="00B94DE3">
        <w:t xml:space="preserve"> </w:t>
      </w:r>
      <w:r w:rsidR="00B94DE3" w:rsidRPr="00E41D6C">
        <w:t xml:space="preserve">Materials presently used for photovoltaics include </w:t>
      </w:r>
      <w:hyperlink r:id="rId78" w:tooltip="Monocrystalline silicon" w:history="1">
        <w:r w:rsidR="00B94DE3" w:rsidRPr="00E41D6C">
          <w:t>monocrystalline silicon</w:t>
        </w:r>
      </w:hyperlink>
      <w:r w:rsidR="00B94DE3" w:rsidRPr="00E41D6C">
        <w:t xml:space="preserve">, </w:t>
      </w:r>
      <w:hyperlink r:id="rId79" w:tooltip="Polycrystalline silicon" w:history="1">
        <w:r w:rsidR="00B94DE3" w:rsidRPr="00E41D6C">
          <w:t>polycrystalline silicon</w:t>
        </w:r>
      </w:hyperlink>
      <w:r w:rsidR="00B94DE3" w:rsidRPr="00E41D6C">
        <w:t xml:space="preserve">, </w:t>
      </w:r>
      <w:hyperlink r:id="rId80" w:tooltip="Microcrystalline silicon" w:history="1">
        <w:r w:rsidR="00B94DE3" w:rsidRPr="00E41D6C">
          <w:t>microcrystalline silicon</w:t>
        </w:r>
      </w:hyperlink>
      <w:r w:rsidR="00B94DE3" w:rsidRPr="00E41D6C">
        <w:t xml:space="preserve">, </w:t>
      </w:r>
      <w:hyperlink r:id="rId81" w:tooltip="Cadmium telluride" w:history="1">
        <w:r w:rsidR="00B94DE3" w:rsidRPr="00E41D6C">
          <w:t>cadmium telluride</w:t>
        </w:r>
      </w:hyperlink>
      <w:r w:rsidR="00B94DE3" w:rsidRPr="00E41D6C">
        <w:t xml:space="preserve">, and </w:t>
      </w:r>
      <w:hyperlink r:id="rId82" w:tooltip="Copper indium selenide" w:history="1">
        <w:r w:rsidR="00B94DE3" w:rsidRPr="00E41D6C">
          <w:t>copper indium selenide</w:t>
        </w:r>
      </w:hyperlink>
      <w:r w:rsidR="00B94DE3" w:rsidRPr="00C95F78">
        <w:t>/sulfide.</w:t>
      </w:r>
      <w:r w:rsidR="00B94DE3">
        <w:t xml:space="preserve"> They typically convert </w:t>
      </w:r>
      <w:r w:rsidR="00B94DE3" w:rsidRPr="00C95F78">
        <w:t>15% of inc</w:t>
      </w:r>
      <w:r w:rsidR="00B94DE3">
        <w:t>ident sunlight into electricity, typically allowing the generation of 100 to 150 kW/hours per square metre</w:t>
      </w:r>
      <w:r w:rsidR="00B94DE3" w:rsidRPr="00C95F78">
        <w:t xml:space="preserve"> </w:t>
      </w:r>
      <w:r w:rsidR="00B94DE3">
        <w:t xml:space="preserve">of panel </w:t>
      </w:r>
      <w:r w:rsidR="00B94DE3" w:rsidRPr="00C95F78">
        <w:t>per year.</w:t>
      </w:r>
    </w:p>
    <w:p w:rsidR="00DC4DC4" w:rsidRDefault="00DC4DC4" w:rsidP="00BB1A5E">
      <w:pPr>
        <w:spacing w:after="0" w:line="240" w:lineRule="auto"/>
        <w:jc w:val="both"/>
      </w:pPr>
    </w:p>
    <w:p w:rsidR="00B94DE3" w:rsidRDefault="00B94DE3" w:rsidP="00BB1A5E">
      <w:pPr>
        <w:spacing w:after="0" w:line="240" w:lineRule="auto"/>
        <w:jc w:val="both"/>
      </w:pPr>
      <w:r>
        <w:t>The industry recognises three generations of solar cell, of which only the first is fully commercialised. First generation technologies are still in development, and likely to hold their market position against newer alternatives for some time to come.</w:t>
      </w:r>
      <w:r w:rsidR="00256D0C">
        <w:t xml:space="preserve"> </w:t>
      </w:r>
    </w:p>
    <w:p w:rsidR="00B94DE3" w:rsidRPr="00DC4DC4" w:rsidRDefault="00B94DE3" w:rsidP="00BB1A5E">
      <w:pPr>
        <w:spacing w:after="0" w:line="240" w:lineRule="auto"/>
        <w:jc w:val="both"/>
      </w:pPr>
    </w:p>
    <w:p w:rsidR="00B94DE3" w:rsidRPr="00C95F78" w:rsidRDefault="00B94DE3" w:rsidP="00BB1A5E">
      <w:pPr>
        <w:spacing w:after="0" w:line="240" w:lineRule="auto"/>
        <w:jc w:val="both"/>
      </w:pPr>
      <w:r w:rsidRPr="00C95F78">
        <w:t>First-generation PV technology (silicon p- n junction or wafer solar cells) is based on single or multi-crystalline silicon (xSi) with an optically thic</w:t>
      </w:r>
      <w:r>
        <w:t>k single semiconductor junction. The practical efficiency limit for this product is</w:t>
      </w:r>
      <w:r w:rsidRPr="00C95F78">
        <w:t xml:space="preserve"> around 20%</w:t>
      </w:r>
      <w:r>
        <w:t xml:space="preserve"> conversion rate</w:t>
      </w:r>
      <w:r w:rsidRPr="00C95F78">
        <w:t xml:space="preserve">. </w:t>
      </w:r>
      <w:r w:rsidR="00DE073A">
        <w:t xml:space="preserve">Although reasonably efficient and robust, the technology is expensive. With supply shortages in the latter part of the last decade, costs were as high as </w:t>
      </w:r>
      <w:r w:rsidR="00DE073A" w:rsidRPr="00DE073A">
        <w:t>US</w:t>
      </w:r>
      <w:r w:rsidRPr="00DE073A">
        <w:t>$4/watt</w:t>
      </w:r>
      <w:r w:rsidR="00DE073A">
        <w:t xml:space="preserve"> peak</w:t>
      </w:r>
      <w:r w:rsidRPr="00C95F78">
        <w:rPr>
          <w:rStyle w:val="FootnoteReference"/>
          <w:b/>
        </w:rPr>
        <w:footnoteReference w:id="13"/>
      </w:r>
      <w:r w:rsidRPr="00C95F78">
        <w:rPr>
          <w:b/>
        </w:rPr>
        <w:t>,</w:t>
      </w:r>
      <w:r w:rsidRPr="00C95F78">
        <w:t xml:space="preserve"> </w:t>
      </w:r>
      <w:r w:rsidR="00DE073A">
        <w:t>but have fallen and are expected to fall further to</w:t>
      </w:r>
      <w:r w:rsidRPr="00C95F78">
        <w:t xml:space="preserve"> </w:t>
      </w:r>
      <w:r w:rsidR="00DE073A">
        <w:t>US$1.0-</w:t>
      </w:r>
      <w:r w:rsidRPr="00C95F78">
        <w:t xml:space="preserve"> 1.5/watt</w:t>
      </w:r>
      <w:r w:rsidR="00DE073A">
        <w:t xml:space="preserve"> peak.</w:t>
      </w:r>
      <w:r w:rsidRPr="00C95F78">
        <w:rPr>
          <w:rStyle w:val="FootnoteReference"/>
        </w:rPr>
        <w:footnoteReference w:id="14"/>
      </w:r>
      <w:r w:rsidR="00816DA2">
        <w:t>.</w:t>
      </w:r>
    </w:p>
    <w:p w:rsidR="00DE073A" w:rsidRDefault="00B94DE3" w:rsidP="00BB1A5E">
      <w:pPr>
        <w:spacing w:after="0" w:line="240" w:lineRule="auto"/>
        <w:jc w:val="both"/>
      </w:pPr>
      <w:r w:rsidRPr="00C95F78">
        <w:t>The second-gener</w:t>
      </w:r>
      <w:r w:rsidR="00DE073A">
        <w:t xml:space="preserve">ation technology covers </w:t>
      </w:r>
      <w:r w:rsidRPr="00C95F78">
        <w:t>low-cost</w:t>
      </w:r>
      <w:r w:rsidR="00DE073A">
        <w:t>, low-efficiency thin-film cells. The idea is that</w:t>
      </w:r>
      <w:r w:rsidRPr="00C95F78">
        <w:t>,</w:t>
      </w:r>
      <w:r w:rsidR="00DE073A">
        <w:t xml:space="preserve"> while efficiency levels are low (6-12%), the much reduced cost of production will allow the overall cost in relation to the electricity generated to be lower. The target is for costs lower than US$1 per watt peak. The options currently under development include</w:t>
      </w:r>
      <w:r w:rsidRPr="00C95F78">
        <w:t xml:space="preserve"> Copper Indium Gallium Selenide (CIGS), Cadmium Telluride (CdTe), Amorphous Silicon (aSi) and Micromorphous Silicon (mSi)</w:t>
      </w:r>
      <w:r w:rsidR="00DE073A">
        <w:t>.</w:t>
      </w:r>
    </w:p>
    <w:p w:rsidR="00DE073A" w:rsidRDefault="00DE073A" w:rsidP="00BB1A5E">
      <w:pPr>
        <w:spacing w:after="0" w:line="240" w:lineRule="auto"/>
        <w:jc w:val="both"/>
      </w:pPr>
    </w:p>
    <w:p w:rsidR="00EC30EA" w:rsidRDefault="00EC30EA" w:rsidP="00BB1A5E">
      <w:pPr>
        <w:spacing w:after="0" w:line="240" w:lineRule="auto"/>
        <w:jc w:val="both"/>
      </w:pPr>
      <w:r w:rsidRPr="00EC30EA">
        <w:t>Cadmium Telluride (CdTe)</w:t>
      </w:r>
      <w:r>
        <w:rPr>
          <w:b/>
        </w:rPr>
        <w:t xml:space="preserve"> </w:t>
      </w:r>
      <w:r w:rsidRPr="00EC30EA">
        <w:t>is the only one of the thin-film technologies to demonstrate commercial competitiveness agains xSi</w:t>
      </w:r>
      <w:r>
        <w:t>, with direct manufacturing costs as low as US$1.12 per watt peak. The opportunity for further technical development of this technology is thought to be limited, while a global shortage of telluride mitigates against its use.</w:t>
      </w:r>
    </w:p>
    <w:p w:rsidR="00EC30EA" w:rsidRDefault="00EC30EA" w:rsidP="00BB1A5E">
      <w:pPr>
        <w:spacing w:after="0" w:line="240" w:lineRule="auto"/>
        <w:jc w:val="both"/>
      </w:pPr>
    </w:p>
    <w:p w:rsidR="00EC30EA" w:rsidRDefault="00EC30EA" w:rsidP="00BB1A5E">
      <w:pPr>
        <w:spacing w:after="0" w:line="240" w:lineRule="auto"/>
        <w:jc w:val="both"/>
      </w:pPr>
      <w:r w:rsidRPr="00EC30EA">
        <w:t>Amorphous Silicon</w:t>
      </w:r>
      <w:r>
        <w:t xml:space="preserve"> (aSi) technology has also been commercialised, but only in for low power applications such as calculators.</w:t>
      </w:r>
      <w:r w:rsidRPr="00C95F78">
        <w:t xml:space="preserve"> </w:t>
      </w:r>
      <w:r>
        <w:t xml:space="preserve">Using a multi-layer construction, the use of aSi is said to be applicable to the electricity generation market. The low cost of aSi could make this attractive, but the multi-layer construction is expensive, a likely barrier to the wide application of this product. </w:t>
      </w:r>
    </w:p>
    <w:p w:rsidR="00EC30EA" w:rsidRDefault="00EC30EA" w:rsidP="00BB1A5E">
      <w:pPr>
        <w:spacing w:after="0" w:line="240" w:lineRule="auto"/>
        <w:jc w:val="both"/>
      </w:pPr>
    </w:p>
    <w:p w:rsidR="00EC30EA" w:rsidRDefault="00EC30EA" w:rsidP="00BB1A5E">
      <w:pPr>
        <w:spacing w:after="0" w:line="240" w:lineRule="auto"/>
        <w:jc w:val="both"/>
      </w:pPr>
      <w:r w:rsidRPr="00EC30EA">
        <w:t>M</w:t>
      </w:r>
      <w:r w:rsidR="00DB2B3E">
        <w:t>icromorphous Silicon (mSi)</w:t>
      </w:r>
      <w:r w:rsidRPr="00EC30EA">
        <w:t xml:space="preserve"> technology</w:t>
      </w:r>
      <w:r w:rsidRPr="00C95F78">
        <w:t xml:space="preserve"> combines two different types of silicon, </w:t>
      </w:r>
      <w:hyperlink r:id="rId83" w:tooltip="Microcrystalline silicon" w:history="1">
        <w:r w:rsidRPr="00C95F78">
          <w:t>microcrystalline</w:t>
        </w:r>
      </w:hyperlink>
      <w:r w:rsidRPr="00C95F78">
        <w:t xml:space="preserve"> and </w:t>
      </w:r>
      <w:hyperlink r:id="rId84" w:tooltip="Amorphous silicon" w:history="1">
        <w:r w:rsidRPr="00C95F78">
          <w:t>amorphous</w:t>
        </w:r>
      </w:hyperlink>
      <w:r w:rsidRPr="00C95F78">
        <w:t xml:space="preserve">, in a </w:t>
      </w:r>
      <w:hyperlink r:id="rId85" w:tooltip="Photovoltaic cell" w:history="1">
        <w:r w:rsidRPr="00C95F78">
          <w:t>photovoltaic cell</w:t>
        </w:r>
      </w:hyperlink>
      <w:r w:rsidRPr="00C95F78">
        <w:t>. The solar cells made f</w:t>
      </w:r>
      <w:r w:rsidR="00DB2B3E">
        <w:t>rom these materials tend to have quite low.</w:t>
      </w:r>
    </w:p>
    <w:p w:rsidR="00DE073A" w:rsidRPr="00C95F78" w:rsidRDefault="00DE073A" w:rsidP="00BB1A5E">
      <w:pPr>
        <w:spacing w:after="0" w:line="240" w:lineRule="auto"/>
        <w:jc w:val="both"/>
      </w:pPr>
    </w:p>
    <w:p w:rsidR="00B94DE3" w:rsidRPr="00C95F78" w:rsidRDefault="00DB2B3E" w:rsidP="00BB1A5E">
      <w:pPr>
        <w:spacing w:after="0" w:line="240" w:lineRule="auto"/>
        <w:jc w:val="both"/>
      </w:pPr>
      <w:r>
        <w:t xml:space="preserve">Amongst the second generation technologies, only </w:t>
      </w:r>
      <w:r w:rsidR="00B94DE3" w:rsidRPr="00DB2B3E">
        <w:t>Copper Indium Gallium Selenide</w:t>
      </w:r>
      <w:r w:rsidR="00B94DE3" w:rsidRPr="00C95F78">
        <w:t xml:space="preserve"> (</w:t>
      </w:r>
      <w:r w:rsidR="00B94DE3" w:rsidRPr="00DB2B3E">
        <w:rPr>
          <w:b/>
        </w:rPr>
        <w:t>CIGS</w:t>
      </w:r>
      <w:r w:rsidR="00B94DE3" w:rsidRPr="00C95F78">
        <w:t>)</w:t>
      </w:r>
      <w:r>
        <w:t xml:space="preserve"> appears to offer a large commercial potential</w:t>
      </w:r>
      <w:r w:rsidR="00B94DE3" w:rsidRPr="00C95F78">
        <w:t>:</w:t>
      </w:r>
      <w:r>
        <w:t xml:space="preserve"> This is a low cost technology that, under laboratory conditions, has shown an efficiency rating similar to xSi. Although in practice efficiency is lower, Ascent Solar having claimed to achieve only 11.7% (the highest recorded), costs per watt hour still promise to be very low. Cost per watt hour peak of US</w:t>
      </w:r>
      <w:r w:rsidRPr="00C95F78">
        <w:t>$0.50 to</w:t>
      </w:r>
      <w:r>
        <w:t xml:space="preserve"> 1.0</w:t>
      </w:r>
      <w:r w:rsidRPr="00C95F78">
        <w:t>/watt</w:t>
      </w:r>
      <w:r w:rsidRPr="00C95F78">
        <w:rPr>
          <w:rStyle w:val="FootnoteReference"/>
        </w:rPr>
        <w:footnoteReference w:id="15"/>
      </w:r>
      <w:r w:rsidR="005643F9">
        <w:t xml:space="preserve"> is</w:t>
      </w:r>
      <w:r>
        <w:t xml:space="preserve"> thought to be achievable.</w:t>
      </w:r>
      <w:r w:rsidRPr="00C95F78">
        <w:t xml:space="preserve"> </w:t>
      </w:r>
      <w:r>
        <w:t xml:space="preserve">While the word “copper” is in the description of </w:t>
      </w:r>
      <w:r w:rsidR="00B94DE3" w:rsidRPr="00C95F78">
        <w:t>CIGS</w:t>
      </w:r>
      <w:r>
        <w:t xml:space="preserve">, in fact copper content is quite low, at about </w:t>
      </w:r>
      <w:r w:rsidR="002B3619">
        <w:t>50 kg per MW of capacity</w:t>
      </w:r>
      <w:r w:rsidR="00B94DE3" w:rsidRPr="00C95F78">
        <w:rPr>
          <w:rStyle w:val="FootnoteReference"/>
        </w:rPr>
        <w:footnoteReference w:id="16"/>
      </w:r>
      <w:r w:rsidR="00B94DE3" w:rsidRPr="00C95F78">
        <w:t>.</w:t>
      </w:r>
    </w:p>
    <w:p w:rsidR="00DE073A" w:rsidRDefault="00DE073A" w:rsidP="00BB1A5E">
      <w:pPr>
        <w:spacing w:after="0" w:line="240" w:lineRule="auto"/>
        <w:jc w:val="both"/>
      </w:pPr>
    </w:p>
    <w:p w:rsidR="002B3619" w:rsidRDefault="002B3619" w:rsidP="00BB1A5E">
      <w:pPr>
        <w:spacing w:after="0" w:line="240" w:lineRule="auto"/>
        <w:jc w:val="both"/>
      </w:pPr>
    </w:p>
    <w:p w:rsidR="002B3619" w:rsidRPr="007A1D02" w:rsidRDefault="002B3619" w:rsidP="00621010">
      <w:pPr>
        <w:pStyle w:val="Caption"/>
        <w:contextualSpacing/>
        <w:jc w:val="center"/>
        <w:rPr>
          <w:sz w:val="28"/>
          <w:szCs w:val="28"/>
        </w:rPr>
      </w:pPr>
      <w:bookmarkStart w:id="111" w:name="_Toc263671715"/>
      <w:r w:rsidRPr="007A1D02">
        <w:rPr>
          <w:sz w:val="28"/>
          <w:szCs w:val="28"/>
        </w:rPr>
        <w:t xml:space="preserve">Figure </w:t>
      </w:r>
      <w:r w:rsidR="00D50FDC" w:rsidRPr="007A1D02">
        <w:rPr>
          <w:sz w:val="28"/>
          <w:szCs w:val="28"/>
        </w:rPr>
        <w:fldChar w:fldCharType="begin"/>
      </w:r>
      <w:r w:rsidRPr="007A1D02">
        <w:rPr>
          <w:sz w:val="28"/>
          <w:szCs w:val="28"/>
        </w:rPr>
        <w:instrText xml:space="preserve"> SEQ Figure \* ARABIC </w:instrText>
      </w:r>
      <w:r w:rsidR="00D50FDC" w:rsidRPr="007A1D02">
        <w:rPr>
          <w:sz w:val="28"/>
          <w:szCs w:val="28"/>
        </w:rPr>
        <w:fldChar w:fldCharType="separate"/>
      </w:r>
      <w:r w:rsidR="0005759A">
        <w:rPr>
          <w:noProof/>
          <w:sz w:val="28"/>
          <w:szCs w:val="28"/>
        </w:rPr>
        <w:t>61</w:t>
      </w:r>
      <w:r w:rsidR="00D50FDC" w:rsidRPr="007A1D02">
        <w:rPr>
          <w:sz w:val="28"/>
          <w:szCs w:val="28"/>
        </w:rPr>
        <w:fldChar w:fldCharType="end"/>
      </w:r>
      <w:r>
        <w:rPr>
          <w:sz w:val="28"/>
          <w:szCs w:val="28"/>
        </w:rPr>
        <w:t>: CIGS C</w:t>
      </w:r>
      <w:r w:rsidRPr="007A1D02">
        <w:rPr>
          <w:sz w:val="28"/>
          <w:szCs w:val="28"/>
        </w:rPr>
        <w:t>ells</w:t>
      </w:r>
      <w:bookmarkEnd w:id="111"/>
    </w:p>
    <w:p w:rsidR="002B3619" w:rsidRPr="00C95F78" w:rsidRDefault="002B3619" w:rsidP="00C253D8">
      <w:pPr>
        <w:pStyle w:val="ListParagraph"/>
        <w:spacing w:line="240" w:lineRule="auto"/>
        <w:jc w:val="center"/>
      </w:pPr>
      <w:r w:rsidRPr="00C95F78">
        <w:rPr>
          <w:noProof/>
          <w:lang w:val="en-US"/>
        </w:rPr>
        <w:drawing>
          <wp:inline distT="0" distB="0" distL="0" distR="0">
            <wp:extent cx="3432175" cy="1971040"/>
            <wp:effectExtent l="19050" t="0" r="0" b="0"/>
            <wp:docPr id="28" name="Picture 5" descr="Copper Film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per Film Solar Panels"/>
                    <pic:cNvPicPr>
                      <a:picLocks noChangeAspect="1" noChangeArrowheads="1"/>
                    </pic:cNvPicPr>
                  </pic:nvPicPr>
                  <pic:blipFill>
                    <a:blip r:embed="rId86" cstate="print"/>
                    <a:srcRect/>
                    <a:stretch>
                      <a:fillRect/>
                    </a:stretch>
                  </pic:blipFill>
                  <pic:spPr bwMode="auto">
                    <a:xfrm>
                      <a:off x="0" y="0"/>
                      <a:ext cx="3432175" cy="1971040"/>
                    </a:xfrm>
                    <a:prstGeom prst="rect">
                      <a:avLst/>
                    </a:prstGeom>
                    <a:noFill/>
                    <a:ln w="9525">
                      <a:noFill/>
                      <a:miter lim="800000"/>
                      <a:headEnd/>
                      <a:tailEnd/>
                    </a:ln>
                  </pic:spPr>
                </pic:pic>
              </a:graphicData>
            </a:graphic>
          </wp:inline>
        </w:drawing>
      </w:r>
    </w:p>
    <w:p w:rsidR="002B3619" w:rsidRDefault="002B3619" w:rsidP="00BB1A5E">
      <w:pPr>
        <w:spacing w:after="0" w:line="240" w:lineRule="auto"/>
        <w:jc w:val="both"/>
      </w:pPr>
    </w:p>
    <w:p w:rsidR="00B94DE3" w:rsidRPr="00C95F78" w:rsidRDefault="002B3619" w:rsidP="00BB1A5E">
      <w:pPr>
        <w:spacing w:after="0" w:line="240" w:lineRule="auto"/>
        <w:jc w:val="both"/>
      </w:pPr>
      <w:r>
        <w:t xml:space="preserve">The third generation solar cell technologies are still at the research phase, but could lead to commercial products by the end of this decade. The aim is to achieve both high efficiency and very low cost. </w:t>
      </w:r>
      <w:r w:rsidR="00B94DE3" w:rsidRPr="00C95F78">
        <w:t>The main methods being explored include dye</w:t>
      </w:r>
      <w:r w:rsidR="00825DBB">
        <w:t>-sensitis</w:t>
      </w:r>
      <w:r w:rsidR="00B94DE3" w:rsidRPr="00C95F78">
        <w:t xml:space="preserve">ed cells, organic (polymer-fullerene) cells, and ETA cells (Extremely Thin Absorber). </w:t>
      </w:r>
    </w:p>
    <w:p w:rsidR="00DC4DC4" w:rsidRDefault="00DC4DC4" w:rsidP="00BB1A5E">
      <w:pPr>
        <w:spacing w:after="0" w:line="240" w:lineRule="auto"/>
        <w:jc w:val="both"/>
      </w:pPr>
    </w:p>
    <w:p w:rsidR="00DC4DC4" w:rsidRDefault="002B3619" w:rsidP="00BB1A5E">
      <w:pPr>
        <w:spacing w:after="0" w:line="240" w:lineRule="auto"/>
        <w:jc w:val="both"/>
      </w:pPr>
      <w:r>
        <w:rPr>
          <w:b/>
        </w:rPr>
        <w:t xml:space="preserve">Cables: </w:t>
      </w:r>
      <w:r w:rsidR="00B4596E">
        <w:t>As solar generation systems can be spread over a large area with many connections within and between modules and arrays, and then connection between arrays in sub-fields and linkage to the network, the amount of cabling involved can be huge.</w:t>
      </w:r>
      <w:r w:rsidR="00812236">
        <w:t xml:space="preserve"> Typical diameters of the cables used are as follows: module cable 4-6 </w:t>
      </w:r>
      <w:r w:rsidR="00D84B47">
        <w:t>m</w:t>
      </w:r>
      <w:r w:rsidR="00D84B47" w:rsidRPr="00CE405D">
        <w:rPr>
          <w:vertAlign w:val="superscript"/>
        </w:rPr>
        <w:t>2</w:t>
      </w:r>
      <w:r w:rsidR="00812236">
        <w:t xml:space="preserve">, array cable 6-10 </w:t>
      </w:r>
      <w:r w:rsidR="00D84B47">
        <w:t>m</w:t>
      </w:r>
      <w:r w:rsidR="00D84B47" w:rsidRPr="00CE405D">
        <w:rPr>
          <w:vertAlign w:val="superscript"/>
        </w:rPr>
        <w:t>2</w:t>
      </w:r>
      <w:r w:rsidR="00A660B0">
        <w:t xml:space="preserve"> and field cable 30-</w:t>
      </w:r>
      <w:r w:rsidR="00812236">
        <w:t xml:space="preserve">50 </w:t>
      </w:r>
      <w:r w:rsidR="00D84B47">
        <w:t>m</w:t>
      </w:r>
      <w:r w:rsidR="00D84B47" w:rsidRPr="00CE405D">
        <w:rPr>
          <w:vertAlign w:val="superscript"/>
        </w:rPr>
        <w:t>2</w:t>
      </w:r>
      <w:r w:rsidR="00812236">
        <w:t>.</w:t>
      </w:r>
    </w:p>
    <w:p w:rsidR="00B4596E" w:rsidRDefault="00B4596E" w:rsidP="00BB1A5E">
      <w:pPr>
        <w:spacing w:after="0" w:line="240" w:lineRule="auto"/>
        <w:jc w:val="both"/>
      </w:pPr>
    </w:p>
    <w:p w:rsidR="00B4596E" w:rsidRDefault="00812236" w:rsidP="00BB1A5E">
      <w:pPr>
        <w:spacing w:after="0" w:line="240" w:lineRule="auto"/>
        <w:jc w:val="both"/>
      </w:pPr>
      <w:r>
        <w:t xml:space="preserve">As well as being a large market, the </w:t>
      </w:r>
      <w:r w:rsidR="00B4596E">
        <w:t xml:space="preserve">technical requirements of the cable </w:t>
      </w:r>
      <w:r>
        <w:t xml:space="preserve">in solar PV systems </w:t>
      </w:r>
      <w:r w:rsidR="00B4596E">
        <w:t xml:space="preserve">are high, as the environment is testing. Amongst the characteristics required are </w:t>
      </w:r>
      <w:r w:rsidR="00B4596E" w:rsidRPr="00B4596E">
        <w:t>temperature resistance, outdoor survival when exposed to ozone and UV light, resistance to rodent or insect attack and long-term operability.</w:t>
      </w:r>
      <w:r w:rsidR="00B4596E">
        <w:t xml:space="preserve"> For rooftop installation, low </w:t>
      </w:r>
      <w:r>
        <w:t>smoke and toxin release in the event of a fire are also required.</w:t>
      </w:r>
    </w:p>
    <w:p w:rsidR="00812236" w:rsidRDefault="00812236" w:rsidP="00BB1A5E">
      <w:pPr>
        <w:spacing w:after="0" w:line="240" w:lineRule="auto"/>
        <w:jc w:val="both"/>
      </w:pPr>
    </w:p>
    <w:p w:rsidR="004D6789"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12" w:name="_Toc263688590"/>
      <w:r w:rsidRPr="007A1D02">
        <w:rPr>
          <w:color w:val="365F91" w:themeColor="accent1" w:themeShade="BF"/>
          <w:sz w:val="26"/>
          <w:szCs w:val="26"/>
        </w:rPr>
        <w:t>Market Forecasts by Sector</w:t>
      </w:r>
      <w:bookmarkEnd w:id="112"/>
    </w:p>
    <w:p w:rsidR="005A48E2" w:rsidRPr="00C95F78" w:rsidRDefault="005A48E2" w:rsidP="00BB1A5E">
      <w:pPr>
        <w:spacing w:after="0" w:line="240" w:lineRule="auto"/>
        <w:contextualSpacing/>
        <w:jc w:val="both"/>
      </w:pPr>
    </w:p>
    <w:p w:rsidR="009724A5" w:rsidRDefault="009724A5" w:rsidP="00BB1A5E">
      <w:pPr>
        <w:spacing w:after="0" w:line="240" w:lineRule="auto"/>
        <w:jc w:val="both"/>
      </w:pPr>
      <w:r>
        <w:t>The solar PV market consists of two elements, that designed to supply the electricity grid and that designed to provide independent power, usually not connected to the grid. These two sectors have slightly different dynamics.</w:t>
      </w:r>
    </w:p>
    <w:p w:rsidR="00E902CB" w:rsidRDefault="00E902CB" w:rsidP="00BB1A5E">
      <w:pPr>
        <w:spacing w:after="0" w:line="240" w:lineRule="auto"/>
        <w:jc w:val="both"/>
      </w:pPr>
    </w:p>
    <w:p w:rsidR="00E902CB" w:rsidRDefault="00E902CB" w:rsidP="00BB1A5E">
      <w:pPr>
        <w:spacing w:after="0" w:line="240" w:lineRule="auto"/>
        <w:jc w:val="both"/>
      </w:pPr>
      <w:r>
        <w:t>For both, grid parity (cost equivalence to the cost of electricity on the grid) is essential. In the case of small consumers, high installation costs coupled with modest production of electricity can make parity very difficult to achieve. A combination of s</w:t>
      </w:r>
      <w:r w:rsidR="00432BDD">
        <w:t>o</w:t>
      </w:r>
      <w:r>
        <w:t xml:space="preserve">lar electricity with solar heating </w:t>
      </w:r>
      <w:r w:rsidR="00432BDD">
        <w:t>can reduce the costs. Another is the integration of solar materials within buildings from first construction, an option applicable to commercial buildings finding some favour in Europe, where this is a 25 MW per year market. In general, however, grid parity is only achieved with the aid of subsidies. This is expected to remain the case until the cost of solar panels falls substantially.</w:t>
      </w:r>
    </w:p>
    <w:p w:rsidR="00432BDD" w:rsidRDefault="00432BDD" w:rsidP="00BB1A5E">
      <w:pPr>
        <w:spacing w:after="0" w:line="240" w:lineRule="auto"/>
        <w:jc w:val="both"/>
      </w:pPr>
    </w:p>
    <w:p w:rsidR="00432BDD" w:rsidRDefault="00432BDD" w:rsidP="00BB1A5E">
      <w:pPr>
        <w:spacing w:after="0" w:line="240" w:lineRule="auto"/>
        <w:jc w:val="both"/>
      </w:pPr>
      <w:r>
        <w:t>For large grid connected systems, installation costs are also high, but electricity supplied from large modern solar parks is closer to parity with competing sources of electricity, without the aid of subsidies. While the tariffs obtained are still critical, other factors such as the quality of the solar resource play more of a role.</w:t>
      </w:r>
    </w:p>
    <w:p w:rsidR="00432BDD" w:rsidRDefault="00432BDD" w:rsidP="00BB1A5E">
      <w:pPr>
        <w:spacing w:after="0" w:line="240" w:lineRule="auto"/>
        <w:jc w:val="both"/>
      </w:pPr>
    </w:p>
    <w:p w:rsidR="00432BDD" w:rsidRDefault="00432BDD" w:rsidP="00BB1A5E">
      <w:pPr>
        <w:spacing w:after="0" w:line="240" w:lineRule="auto"/>
        <w:jc w:val="both"/>
      </w:pPr>
      <w:r>
        <w:t xml:space="preserve">To date, the history of solar PV installation </w:t>
      </w:r>
      <w:r w:rsidR="00847DC9">
        <w:t>can best be understood by differences in the level of subsidy. Europe, with a relatively poor solar resource, ha</w:t>
      </w:r>
      <w:r w:rsidR="00D84B47">
        <w:t>s</w:t>
      </w:r>
      <w:r w:rsidR="00847DC9">
        <w:t xml:space="preserve"> subsidised solar PV heavily. This is the main reason why, today, it has over 70% of the world’s solar PV capacity. Subsidies have been particularly generous in Germany and Spain. Germany alone accounts for 40% of world solar PV capacity in 2010.</w:t>
      </w:r>
    </w:p>
    <w:p w:rsidR="00847DC9" w:rsidRDefault="00847DC9" w:rsidP="00BB1A5E">
      <w:pPr>
        <w:spacing w:after="0" w:line="240" w:lineRule="auto"/>
        <w:jc w:val="both"/>
      </w:pPr>
    </w:p>
    <w:p w:rsidR="00847DC9" w:rsidRDefault="00847DC9" w:rsidP="00BB1A5E">
      <w:pPr>
        <w:spacing w:after="0" w:line="240" w:lineRule="auto"/>
        <w:jc w:val="both"/>
      </w:pPr>
      <w:r>
        <w:t>The history of subsidies has also influenced the balance between grid-connected and non gr</w:t>
      </w:r>
      <w:r w:rsidR="00D84B47">
        <w:t>id connected solar PV. Up to</w:t>
      </w:r>
      <w:r>
        <w:t xml:space="preserve"> five years ago, a substantial portion of the market (about one-third) was accounted for by off-grid installations. With subsidies for this type of development becoming relatively less generous and the economics of large-scale on-grid</w:t>
      </w:r>
      <w:r w:rsidR="00D84B47">
        <w:t xml:space="preserve"> development improving, most</w:t>
      </w:r>
      <w:r>
        <w:t xml:space="preserve"> of the growth in the past few years has been in on-grid solar PV. </w:t>
      </w:r>
    </w:p>
    <w:p w:rsidR="009724A5" w:rsidRDefault="009724A5" w:rsidP="00BB1A5E">
      <w:pPr>
        <w:spacing w:after="0" w:line="240" w:lineRule="auto"/>
        <w:jc w:val="both"/>
      </w:pPr>
    </w:p>
    <w:p w:rsidR="005A48E2" w:rsidRDefault="00536446" w:rsidP="00BB1A5E">
      <w:pPr>
        <w:spacing w:after="0" w:line="240" w:lineRule="auto"/>
        <w:contextualSpacing/>
        <w:jc w:val="both"/>
      </w:pPr>
      <w:r>
        <w:t>The rate of growth in solar PV in recent years has b</w:t>
      </w:r>
      <w:r w:rsidR="00825DBB">
        <w:t>een phenomenal, averaging over 4</w:t>
      </w:r>
      <w:r w:rsidR="00791DEA">
        <w:t>0% p.</w:t>
      </w:r>
      <w:r>
        <w:t>a. between 2005 and 2010. This was from a very low base, however. In 2010, solar PV still only accounts for 0.6% of total installed electricity generating capacity worldwide. Solar PV is still not a technology that can fully compete on purely commercial grounds.</w:t>
      </w:r>
    </w:p>
    <w:p w:rsidR="00536446" w:rsidRDefault="00536446" w:rsidP="00BB1A5E">
      <w:pPr>
        <w:spacing w:after="0" w:line="240" w:lineRule="auto"/>
        <w:contextualSpacing/>
        <w:jc w:val="both"/>
      </w:pPr>
    </w:p>
    <w:p w:rsidR="00536446" w:rsidRDefault="00536446" w:rsidP="00BB1A5E">
      <w:pPr>
        <w:spacing w:after="0" w:line="240" w:lineRule="auto"/>
        <w:contextualSpacing/>
        <w:jc w:val="both"/>
      </w:pPr>
      <w:r>
        <w:t>The reliance of the solar PV on subsidies has two important implications. First of all, it is very vulnerable to changes in subsidies and feed in tariffs. The markets of both Spain and Germany have been hit hard by changes made. Secondly, if the costs of solar PV do come down as many analysts predict to make this a truly competitive technology,</w:t>
      </w:r>
      <w:r w:rsidR="00825DBB">
        <w:t xml:space="preserve"> the commercial basis for this technology change entirely. The upside potential in this event is enormous.</w:t>
      </w:r>
    </w:p>
    <w:p w:rsidR="00E41D6C" w:rsidRDefault="00E41D6C" w:rsidP="00BB1A5E">
      <w:pPr>
        <w:spacing w:after="0" w:line="240" w:lineRule="auto"/>
        <w:contextualSpacing/>
        <w:jc w:val="both"/>
      </w:pPr>
    </w:p>
    <w:p w:rsidR="00E902CB" w:rsidRPr="00B32B5F" w:rsidRDefault="00E902CB" w:rsidP="00621010">
      <w:pPr>
        <w:pStyle w:val="Caption"/>
        <w:contextualSpacing/>
        <w:jc w:val="center"/>
        <w:rPr>
          <w:sz w:val="28"/>
          <w:szCs w:val="28"/>
        </w:rPr>
      </w:pPr>
      <w:bookmarkStart w:id="113" w:name="_Toc263671716"/>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62</w:t>
      </w:r>
      <w:r w:rsidR="00D50FDC" w:rsidRPr="00B32B5F">
        <w:rPr>
          <w:sz w:val="28"/>
          <w:szCs w:val="28"/>
        </w:rPr>
        <w:fldChar w:fldCharType="end"/>
      </w:r>
      <w:r w:rsidRPr="00B32B5F">
        <w:rPr>
          <w:sz w:val="28"/>
          <w:szCs w:val="28"/>
        </w:rPr>
        <w:t xml:space="preserve">: </w:t>
      </w:r>
      <w:r>
        <w:rPr>
          <w:sz w:val="28"/>
          <w:szCs w:val="28"/>
        </w:rPr>
        <w:t>Growth in Installed Solar PV Capacity 2000-2009</w:t>
      </w:r>
      <w:r>
        <w:rPr>
          <w:rStyle w:val="FootnoteReference"/>
          <w:sz w:val="28"/>
          <w:szCs w:val="28"/>
        </w:rPr>
        <w:footnoteReference w:id="17"/>
      </w:r>
      <w:bookmarkEnd w:id="113"/>
    </w:p>
    <w:p w:rsidR="00E902CB" w:rsidRDefault="00E902CB" w:rsidP="00C253D8">
      <w:pPr>
        <w:spacing w:after="0" w:line="240" w:lineRule="auto"/>
        <w:contextualSpacing/>
        <w:jc w:val="center"/>
      </w:pPr>
      <w:r>
        <w:rPr>
          <w:noProof/>
          <w:lang w:val="en-US"/>
        </w:rPr>
        <w:drawing>
          <wp:inline distT="0" distB="0" distL="0" distR="0">
            <wp:extent cx="5229090" cy="3740727"/>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l="-7132"/>
                    <a:stretch>
                      <a:fillRect/>
                    </a:stretch>
                  </pic:blipFill>
                  <pic:spPr bwMode="auto">
                    <a:xfrm>
                      <a:off x="0" y="0"/>
                      <a:ext cx="5229090" cy="3740727"/>
                    </a:xfrm>
                    <a:prstGeom prst="rect">
                      <a:avLst/>
                    </a:prstGeom>
                    <a:noFill/>
                    <a:ln w="9525">
                      <a:noFill/>
                      <a:miter lim="800000"/>
                      <a:headEnd/>
                      <a:tailEnd/>
                    </a:ln>
                  </pic:spPr>
                </pic:pic>
              </a:graphicData>
            </a:graphic>
          </wp:inline>
        </w:drawing>
      </w:r>
    </w:p>
    <w:p w:rsidR="00E902CB" w:rsidRDefault="00E902CB" w:rsidP="00BB1A5E">
      <w:pPr>
        <w:spacing w:after="0" w:line="240" w:lineRule="auto"/>
        <w:contextualSpacing/>
        <w:jc w:val="both"/>
      </w:pPr>
    </w:p>
    <w:p w:rsidR="00E41D6C" w:rsidRDefault="00E41D6C" w:rsidP="00BB1A5E">
      <w:pPr>
        <w:spacing w:after="0" w:line="240" w:lineRule="auto"/>
        <w:contextualSpacing/>
        <w:jc w:val="both"/>
      </w:pPr>
    </w:p>
    <w:p w:rsidR="00825DBB" w:rsidRDefault="00825DBB" w:rsidP="00BB1A5E">
      <w:pPr>
        <w:spacing w:after="0" w:line="240" w:lineRule="auto"/>
        <w:contextualSpacing/>
        <w:jc w:val="both"/>
      </w:pPr>
    </w:p>
    <w:p w:rsidR="00825DBB" w:rsidRPr="00B32B5F" w:rsidRDefault="00825DBB" w:rsidP="00621010">
      <w:pPr>
        <w:pStyle w:val="Caption"/>
        <w:contextualSpacing/>
        <w:jc w:val="center"/>
        <w:rPr>
          <w:sz w:val="28"/>
          <w:szCs w:val="28"/>
        </w:rPr>
      </w:pPr>
      <w:bookmarkStart w:id="114" w:name="_Toc263671717"/>
      <w:r w:rsidRPr="00B32B5F">
        <w:rPr>
          <w:sz w:val="28"/>
          <w:szCs w:val="28"/>
        </w:rPr>
        <w:t xml:space="preserve">Figure </w:t>
      </w:r>
      <w:r w:rsidR="00D50FDC" w:rsidRPr="00B32B5F">
        <w:rPr>
          <w:sz w:val="28"/>
          <w:szCs w:val="28"/>
        </w:rPr>
        <w:fldChar w:fldCharType="begin"/>
      </w:r>
      <w:r w:rsidRPr="00B32B5F">
        <w:rPr>
          <w:sz w:val="28"/>
          <w:szCs w:val="28"/>
        </w:rPr>
        <w:instrText xml:space="preserve"> SEQ Figure \* ARABIC </w:instrText>
      </w:r>
      <w:r w:rsidR="00D50FDC" w:rsidRPr="00B32B5F">
        <w:rPr>
          <w:sz w:val="28"/>
          <w:szCs w:val="28"/>
        </w:rPr>
        <w:fldChar w:fldCharType="separate"/>
      </w:r>
      <w:r w:rsidR="0005759A">
        <w:rPr>
          <w:noProof/>
          <w:sz w:val="28"/>
          <w:szCs w:val="28"/>
        </w:rPr>
        <w:t>63</w:t>
      </w:r>
      <w:r w:rsidR="00D50FDC" w:rsidRPr="00B32B5F">
        <w:rPr>
          <w:sz w:val="28"/>
          <w:szCs w:val="28"/>
        </w:rPr>
        <w:fldChar w:fldCharType="end"/>
      </w:r>
      <w:r w:rsidRPr="00B32B5F">
        <w:rPr>
          <w:sz w:val="28"/>
          <w:szCs w:val="28"/>
        </w:rPr>
        <w:t>: World and European PV markets in 2009</w:t>
      </w:r>
      <w:r w:rsidRPr="00621010">
        <w:rPr>
          <w:sz w:val="28"/>
          <w:szCs w:val="28"/>
          <w:vertAlign w:val="superscript"/>
        </w:rPr>
        <w:footnoteReference w:id="18"/>
      </w:r>
      <w:bookmarkEnd w:id="114"/>
    </w:p>
    <w:p w:rsidR="00825DBB" w:rsidRPr="00C95F78" w:rsidRDefault="00825DBB" w:rsidP="00C253D8">
      <w:pPr>
        <w:spacing w:line="240" w:lineRule="auto"/>
        <w:jc w:val="center"/>
      </w:pPr>
      <w:r w:rsidRPr="00C95F78">
        <w:rPr>
          <w:noProof/>
          <w:lang w:val="en-US"/>
        </w:rPr>
        <w:drawing>
          <wp:inline distT="0" distB="0" distL="0" distR="0">
            <wp:extent cx="4477887" cy="2729294"/>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4478332" cy="2729565"/>
                    </a:xfrm>
                    <a:prstGeom prst="rect">
                      <a:avLst/>
                    </a:prstGeom>
                    <a:noFill/>
                    <a:ln w="9525">
                      <a:noFill/>
                      <a:miter lim="800000"/>
                      <a:headEnd/>
                      <a:tailEnd/>
                    </a:ln>
                  </pic:spPr>
                </pic:pic>
              </a:graphicData>
            </a:graphic>
          </wp:inline>
        </w:drawing>
      </w:r>
    </w:p>
    <w:p w:rsidR="00825DBB" w:rsidRDefault="00825DBB" w:rsidP="00BB1A5E">
      <w:pPr>
        <w:spacing w:after="0" w:line="240" w:lineRule="auto"/>
        <w:contextualSpacing/>
        <w:jc w:val="both"/>
      </w:pPr>
    </w:p>
    <w:p w:rsidR="00825DBB" w:rsidRDefault="00825DBB" w:rsidP="00BB1A5E">
      <w:pPr>
        <w:spacing w:after="0" w:line="240" w:lineRule="auto"/>
        <w:contextualSpacing/>
        <w:jc w:val="both"/>
      </w:pPr>
    </w:p>
    <w:p w:rsidR="00825DBB" w:rsidRDefault="00825DBB" w:rsidP="00BB1A5E">
      <w:pPr>
        <w:spacing w:after="0" w:line="240" w:lineRule="auto"/>
        <w:contextualSpacing/>
        <w:jc w:val="both"/>
      </w:pPr>
    </w:p>
    <w:p w:rsidR="00825DBB" w:rsidRDefault="00825DBB" w:rsidP="00BB1A5E">
      <w:pPr>
        <w:spacing w:after="0" w:line="240" w:lineRule="auto"/>
        <w:contextualSpacing/>
        <w:jc w:val="both"/>
      </w:pPr>
    </w:p>
    <w:p w:rsidR="00E41D6C" w:rsidRDefault="00825DBB" w:rsidP="00BB1A5E">
      <w:pPr>
        <w:spacing w:after="0" w:line="240" w:lineRule="auto"/>
        <w:contextualSpacing/>
        <w:jc w:val="both"/>
      </w:pPr>
      <w:r>
        <w:t>The cost of PV installation hinges o</w:t>
      </w:r>
      <w:r w:rsidR="001C2CD3">
        <w:t>n the cost of solar cells. In a</w:t>
      </w:r>
      <w:r>
        <w:t xml:space="preserve"> recently built solar p</w:t>
      </w:r>
      <w:r w:rsidR="001C2CD3">
        <w:t>ark, the cost of solar cells could</w:t>
      </w:r>
      <w:r>
        <w:t xml:space="preserve"> be as much as 65% of total project costs. If, as seems quite possible, the cost of PV cells falls from the high of US$4 per watt hour peak to US$1.5 per watt hour peak by 2015, this implies a reduction in project costs by over 25%, </w:t>
      </w:r>
      <w:r w:rsidR="00B93BEF">
        <w:t>which should be enough to ensure the commercial viability of solar PV without concessionary tariffs.</w:t>
      </w:r>
    </w:p>
    <w:p w:rsidR="00B93BEF" w:rsidRDefault="00B93BEF" w:rsidP="00BB1A5E">
      <w:pPr>
        <w:spacing w:after="0" w:line="240" w:lineRule="auto"/>
        <w:contextualSpacing/>
        <w:jc w:val="both"/>
      </w:pPr>
    </w:p>
    <w:p w:rsidR="00B93BEF" w:rsidRDefault="00B93BEF" w:rsidP="00BB1A5E">
      <w:pPr>
        <w:spacing w:after="0" w:line="240" w:lineRule="auto"/>
        <w:contextualSpacing/>
        <w:jc w:val="both"/>
      </w:pPr>
      <w:r>
        <w:t>Bearing this in mind, our forecasts are based on a reasonably conservative view of the solar PV sector’s prospects. The forecasts are based on trends indicated in the EPIA’s baseline forecast. Though higher than the IEA’s very conservative forecasts, the baseline forecast do not take into account</w:t>
      </w:r>
      <w:r w:rsidR="00DA6079">
        <w:t xml:space="preserve"> the possibility of much more favourable government backing to the industry.</w:t>
      </w:r>
      <w:r w:rsidR="00256D0C">
        <w:t xml:space="preserve"> </w:t>
      </w:r>
      <w:r w:rsidR="00DA6079">
        <w:t>Our forecast may therefore be considered as mainstream.</w:t>
      </w:r>
    </w:p>
    <w:p w:rsidR="00DA6079" w:rsidRDefault="00DA6079" w:rsidP="00BB1A5E">
      <w:pPr>
        <w:spacing w:after="0" w:line="240" w:lineRule="auto"/>
        <w:contextualSpacing/>
        <w:jc w:val="both"/>
      </w:pPr>
    </w:p>
    <w:p w:rsidR="00DA6079" w:rsidRPr="0072727D" w:rsidRDefault="0072727D" w:rsidP="00BB1A5E">
      <w:pPr>
        <w:spacing w:after="0" w:line="240" w:lineRule="auto"/>
        <w:contextualSpacing/>
        <w:jc w:val="both"/>
      </w:pPr>
      <w:r w:rsidRPr="0072727D">
        <w:t xml:space="preserve">The installed capacity figures in </w:t>
      </w:r>
      <w:r w:rsidR="003C7AEB">
        <w:fldChar w:fldCharType="begin"/>
      </w:r>
      <w:r w:rsidR="003C7AEB">
        <w:instrText xml:space="preserve"> REF _Ref263513282 \h  \* MERGEFORMAT </w:instrText>
      </w:r>
      <w:r w:rsidR="003C7AEB">
        <w:fldChar w:fldCharType="separate"/>
      </w:r>
      <w:r w:rsidR="0005759A" w:rsidRPr="0005759A">
        <w:t xml:space="preserve">Figure </w:t>
      </w:r>
      <w:r w:rsidR="0005759A" w:rsidRPr="0005759A">
        <w:rPr>
          <w:noProof/>
        </w:rPr>
        <w:t>64</w:t>
      </w:r>
      <w:r w:rsidR="003C7AEB">
        <w:fldChar w:fldCharType="end"/>
      </w:r>
      <w:r w:rsidRPr="0072727D">
        <w:t xml:space="preserve"> suggest a quite rapid ris</w:t>
      </w:r>
      <w:r w:rsidR="001C2CD3">
        <w:t>e in solar PV generation, growing</w:t>
      </w:r>
      <w:r w:rsidRPr="0072727D">
        <w:t xml:space="preserve"> by a factor of five between 2010 and 2020. Europe will continue to see strong capacity of growth, but the focus is expected to move elsewhere. In particular, the comparatively small US market is expected to see strong growth.</w:t>
      </w:r>
    </w:p>
    <w:p w:rsidR="0072727D" w:rsidRPr="0072727D" w:rsidRDefault="0072727D" w:rsidP="00BB1A5E">
      <w:pPr>
        <w:spacing w:after="0" w:line="240" w:lineRule="auto"/>
        <w:contextualSpacing/>
        <w:jc w:val="both"/>
      </w:pPr>
    </w:p>
    <w:p w:rsidR="00E41D6C" w:rsidRDefault="00E41D6C" w:rsidP="00BB1A5E">
      <w:pPr>
        <w:spacing w:after="0" w:line="240" w:lineRule="auto"/>
        <w:contextualSpacing/>
        <w:jc w:val="both"/>
      </w:pPr>
    </w:p>
    <w:p w:rsidR="0072727D" w:rsidRPr="00C95F78" w:rsidRDefault="0072727D" w:rsidP="00621010">
      <w:pPr>
        <w:pStyle w:val="Caption"/>
        <w:contextualSpacing/>
        <w:jc w:val="center"/>
        <w:rPr>
          <w:sz w:val="28"/>
          <w:szCs w:val="28"/>
        </w:rPr>
      </w:pPr>
      <w:bookmarkStart w:id="115" w:name="_Ref263513282"/>
      <w:bookmarkStart w:id="116" w:name="_Toc26367171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64</w:t>
      </w:r>
      <w:r w:rsidR="00D50FDC" w:rsidRPr="00C95F78">
        <w:rPr>
          <w:sz w:val="28"/>
          <w:szCs w:val="28"/>
        </w:rPr>
        <w:fldChar w:fldCharType="end"/>
      </w:r>
      <w:bookmarkEnd w:id="115"/>
      <w:r w:rsidRPr="00C95F78">
        <w:rPr>
          <w:sz w:val="28"/>
          <w:szCs w:val="28"/>
        </w:rPr>
        <w:t xml:space="preserve">: </w:t>
      </w:r>
      <w:r>
        <w:rPr>
          <w:sz w:val="28"/>
          <w:szCs w:val="28"/>
        </w:rPr>
        <w:t>Forecast Solar PV Generating Capacity in Place</w:t>
      </w:r>
      <w:r w:rsidRPr="00C95F78">
        <w:rPr>
          <w:sz w:val="28"/>
          <w:szCs w:val="28"/>
        </w:rPr>
        <w:t xml:space="preserve"> (GW)</w:t>
      </w:r>
      <w:bookmarkEnd w:id="116"/>
    </w:p>
    <w:p w:rsidR="008557D2" w:rsidRPr="00C95F78" w:rsidRDefault="008557D2" w:rsidP="00BB1A5E">
      <w:pPr>
        <w:spacing w:after="0" w:line="240" w:lineRule="auto"/>
        <w:jc w:val="both"/>
      </w:pPr>
      <w:r w:rsidRPr="00C95F78">
        <w:rPr>
          <w:noProof/>
          <w:lang w:val="en-US"/>
        </w:rPr>
        <w:drawing>
          <wp:inline distT="0" distB="0" distL="0" distR="0">
            <wp:extent cx="5831840" cy="2237741"/>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5831840" cy="2237741"/>
                    </a:xfrm>
                    <a:prstGeom prst="rect">
                      <a:avLst/>
                    </a:prstGeom>
                    <a:noFill/>
                    <a:ln w="9525">
                      <a:noFill/>
                      <a:miter lim="800000"/>
                      <a:headEnd/>
                      <a:tailEnd/>
                    </a:ln>
                  </pic:spPr>
                </pic:pic>
              </a:graphicData>
            </a:graphic>
          </wp:inline>
        </w:drawing>
      </w:r>
    </w:p>
    <w:p w:rsidR="008557D2" w:rsidRDefault="008557D2" w:rsidP="00BB1A5E">
      <w:pPr>
        <w:spacing w:after="0" w:line="240" w:lineRule="auto"/>
        <w:contextualSpacing/>
        <w:jc w:val="both"/>
      </w:pPr>
    </w:p>
    <w:p w:rsidR="00DA6079" w:rsidRPr="00C95F78" w:rsidRDefault="00DA6079" w:rsidP="00BB1A5E">
      <w:pPr>
        <w:spacing w:after="0" w:line="240" w:lineRule="auto"/>
        <w:contextualSpacing/>
        <w:jc w:val="both"/>
      </w:pPr>
    </w:p>
    <w:p w:rsidR="0072727D" w:rsidRPr="00C95F78" w:rsidRDefault="0072727D" w:rsidP="00621010">
      <w:pPr>
        <w:pStyle w:val="Caption"/>
        <w:contextualSpacing/>
        <w:jc w:val="center"/>
        <w:rPr>
          <w:sz w:val="28"/>
          <w:szCs w:val="28"/>
        </w:rPr>
      </w:pPr>
      <w:bookmarkStart w:id="117" w:name="_Ref263513460"/>
      <w:bookmarkStart w:id="118" w:name="_Toc26367171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65</w:t>
      </w:r>
      <w:r w:rsidR="00D50FDC" w:rsidRPr="00C95F78">
        <w:rPr>
          <w:sz w:val="28"/>
          <w:szCs w:val="28"/>
        </w:rPr>
        <w:fldChar w:fldCharType="end"/>
      </w:r>
      <w:bookmarkEnd w:id="117"/>
      <w:r w:rsidRPr="00C95F78">
        <w:rPr>
          <w:sz w:val="28"/>
          <w:szCs w:val="28"/>
        </w:rPr>
        <w:t xml:space="preserve">: </w:t>
      </w:r>
      <w:r>
        <w:rPr>
          <w:sz w:val="28"/>
          <w:szCs w:val="28"/>
        </w:rPr>
        <w:t>Forecast Installation of Solar PV Generating Capacity</w:t>
      </w:r>
      <w:r w:rsidRPr="00C95F78">
        <w:rPr>
          <w:sz w:val="28"/>
          <w:szCs w:val="28"/>
        </w:rPr>
        <w:t xml:space="preserve"> (GW)</w:t>
      </w:r>
      <w:bookmarkEnd w:id="118"/>
    </w:p>
    <w:p w:rsidR="008557D2" w:rsidRPr="00C95F78" w:rsidRDefault="0072727D" w:rsidP="00BB1A5E">
      <w:pPr>
        <w:spacing w:after="0" w:line="240" w:lineRule="auto"/>
        <w:contextualSpacing/>
        <w:jc w:val="both"/>
      </w:pPr>
      <w:r w:rsidRPr="0072727D">
        <w:rPr>
          <w:noProof/>
          <w:lang w:val="en-US"/>
        </w:rPr>
        <w:drawing>
          <wp:inline distT="0" distB="0" distL="0" distR="0">
            <wp:extent cx="5831840" cy="2237741"/>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5831840" cy="2237741"/>
                    </a:xfrm>
                    <a:prstGeom prst="rect">
                      <a:avLst/>
                    </a:prstGeom>
                    <a:noFill/>
                    <a:ln w="9525">
                      <a:noFill/>
                      <a:miter lim="800000"/>
                      <a:headEnd/>
                      <a:tailEnd/>
                    </a:ln>
                  </pic:spPr>
                </pic:pic>
              </a:graphicData>
            </a:graphic>
          </wp:inline>
        </w:drawing>
      </w:r>
    </w:p>
    <w:p w:rsidR="00E41D6C" w:rsidRDefault="00E41D6C" w:rsidP="00BB1A5E">
      <w:pPr>
        <w:spacing w:after="0" w:line="240" w:lineRule="auto"/>
        <w:contextualSpacing/>
        <w:jc w:val="both"/>
      </w:pPr>
    </w:p>
    <w:p w:rsidR="00E41D6C" w:rsidRDefault="00E41D6C" w:rsidP="00BB1A5E">
      <w:pPr>
        <w:spacing w:after="0" w:line="240" w:lineRule="auto"/>
        <w:contextualSpacing/>
        <w:jc w:val="both"/>
      </w:pPr>
    </w:p>
    <w:p w:rsidR="0072727D" w:rsidRDefault="0072727D" w:rsidP="00BB1A5E">
      <w:pPr>
        <w:spacing w:after="0" w:line="240" w:lineRule="auto"/>
        <w:contextualSpacing/>
        <w:jc w:val="both"/>
      </w:pPr>
      <w:r w:rsidRPr="0072727D">
        <w:t>While the rate of capaci</w:t>
      </w:r>
      <w:r w:rsidR="001C2CD3">
        <w:t>ty growth is impressive, that of</w:t>
      </w:r>
      <w:r w:rsidRPr="0072727D">
        <w:t xml:space="preserve"> new installation is not particularly so. In </w:t>
      </w:r>
      <w:r w:rsidR="003C7AEB">
        <w:fldChar w:fldCharType="begin"/>
      </w:r>
      <w:r w:rsidR="003C7AEB">
        <w:instrText xml:space="preserve"> REF _Ref263513460 \h  \* MERGEFORMAT </w:instrText>
      </w:r>
      <w:r w:rsidR="003C7AEB">
        <w:fldChar w:fldCharType="separate"/>
      </w:r>
      <w:r w:rsidR="0005759A" w:rsidRPr="0005759A">
        <w:t xml:space="preserve">Figure </w:t>
      </w:r>
      <w:r w:rsidR="0005759A" w:rsidRPr="0005759A">
        <w:rPr>
          <w:noProof/>
        </w:rPr>
        <w:t>65</w:t>
      </w:r>
      <w:r w:rsidR="003C7AEB">
        <w:fldChar w:fldCharType="end"/>
      </w:r>
      <w:r w:rsidRPr="0072727D">
        <w:t xml:space="preserve"> we see a</w:t>
      </w:r>
      <w:r>
        <w:t xml:space="preserve"> relatively modest rise from 8 GW installation in 2010 to 18 GW installation in 2020. With much stronger solar PV economics if solar cells really do plummet in price, however, the upside potential is very large, the market potential for new installation possibly being double that shown.</w:t>
      </w:r>
    </w:p>
    <w:p w:rsidR="0072727D" w:rsidRDefault="0072727D" w:rsidP="00BB1A5E">
      <w:pPr>
        <w:spacing w:after="0" w:line="240" w:lineRule="auto"/>
        <w:contextualSpacing/>
        <w:jc w:val="both"/>
      </w:pPr>
    </w:p>
    <w:p w:rsidR="00B13341" w:rsidRPr="007A1D02" w:rsidRDefault="00B13341"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19" w:name="_Toc263688591"/>
      <w:r w:rsidRPr="007A1D02">
        <w:rPr>
          <w:rFonts w:asciiTheme="minorHAnsi" w:hAnsiTheme="minorHAnsi"/>
          <w:color w:val="365F91" w:themeColor="accent1" w:themeShade="BF"/>
          <w:sz w:val="26"/>
          <w:szCs w:val="26"/>
        </w:rPr>
        <w:t>The Impact on Copper</w:t>
      </w:r>
      <w:bookmarkEnd w:id="119"/>
    </w:p>
    <w:p w:rsidR="00B13341" w:rsidRDefault="00B13341" w:rsidP="00BB1A5E">
      <w:pPr>
        <w:spacing w:after="0" w:line="240" w:lineRule="auto"/>
        <w:contextualSpacing/>
        <w:jc w:val="both"/>
      </w:pPr>
    </w:p>
    <w:p w:rsidR="00B13341" w:rsidRDefault="00B13341" w:rsidP="00BB1A5E">
      <w:pPr>
        <w:spacing w:after="0" w:line="240" w:lineRule="auto"/>
        <w:contextualSpacing/>
        <w:jc w:val="both"/>
      </w:pPr>
      <w:r>
        <w:t xml:space="preserve">While the rate of solar PV installation is not expected to be huge, it is quite high in copper content (around 4 tonnes per MW). Copper is found primarily in the cabling, although there is also a significant amount in the inverter and in other components, including power electronics. With these basics, wire and cable is the main product ground consumed in solar PV, mainly </w:t>
      </w:r>
      <w:r w:rsidR="000D4FF9">
        <w:t>energy cable.</w:t>
      </w:r>
    </w:p>
    <w:p w:rsidR="00B13341" w:rsidRDefault="00B13341" w:rsidP="00BB1A5E">
      <w:pPr>
        <w:spacing w:after="0" w:line="240" w:lineRule="auto"/>
        <w:contextualSpacing/>
        <w:jc w:val="both"/>
      </w:pPr>
    </w:p>
    <w:p w:rsidR="000D4FF9" w:rsidRDefault="000D4FF9" w:rsidP="00BB1A5E">
      <w:pPr>
        <w:spacing w:after="0" w:line="240" w:lineRule="auto"/>
        <w:contextualSpacing/>
        <w:jc w:val="both"/>
      </w:pPr>
    </w:p>
    <w:p w:rsidR="00B13341" w:rsidRPr="00C95F78" w:rsidRDefault="00B13341" w:rsidP="00621010">
      <w:pPr>
        <w:pStyle w:val="Caption"/>
        <w:contextualSpacing/>
        <w:jc w:val="center"/>
        <w:rPr>
          <w:sz w:val="28"/>
          <w:szCs w:val="28"/>
        </w:rPr>
      </w:pPr>
      <w:bookmarkStart w:id="120" w:name="_Toc26367172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66</w:t>
      </w:r>
      <w:r w:rsidR="00D50FDC" w:rsidRPr="00C95F78">
        <w:rPr>
          <w:sz w:val="28"/>
          <w:szCs w:val="28"/>
        </w:rPr>
        <w:fldChar w:fldCharType="end"/>
      </w:r>
      <w:r w:rsidRPr="00C95F78">
        <w:rPr>
          <w:sz w:val="28"/>
          <w:szCs w:val="28"/>
        </w:rPr>
        <w:t xml:space="preserve">: </w:t>
      </w:r>
      <w:r w:rsidRPr="00B13341">
        <w:rPr>
          <w:sz w:val="28"/>
          <w:szCs w:val="28"/>
        </w:rPr>
        <w:t>Solar PV Market for Copper by Component Sector</w:t>
      </w:r>
      <w:r>
        <w:rPr>
          <w:sz w:val="28"/>
          <w:szCs w:val="28"/>
        </w:rPr>
        <w:t xml:space="preserve"> (kt Cu)</w:t>
      </w:r>
      <w:bookmarkEnd w:id="120"/>
    </w:p>
    <w:p w:rsidR="00B13341" w:rsidRDefault="00B13341" w:rsidP="00BB1A5E">
      <w:pPr>
        <w:spacing w:after="0" w:line="240" w:lineRule="auto"/>
        <w:contextualSpacing/>
        <w:jc w:val="both"/>
      </w:pPr>
      <w:r w:rsidRPr="00B13341">
        <w:rPr>
          <w:noProof/>
          <w:lang w:val="en-US"/>
        </w:rPr>
        <w:drawing>
          <wp:inline distT="0" distB="0" distL="0" distR="0">
            <wp:extent cx="5831840" cy="2523770"/>
            <wp:effectExtent l="1905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a:stretch>
                      <a:fillRect/>
                    </a:stretch>
                  </pic:blipFill>
                  <pic:spPr bwMode="auto">
                    <a:xfrm>
                      <a:off x="0" y="0"/>
                      <a:ext cx="5831840" cy="2523770"/>
                    </a:xfrm>
                    <a:prstGeom prst="rect">
                      <a:avLst/>
                    </a:prstGeom>
                    <a:noFill/>
                    <a:ln w="9525">
                      <a:noFill/>
                      <a:miter lim="800000"/>
                      <a:headEnd/>
                      <a:tailEnd/>
                    </a:ln>
                  </pic:spPr>
                </pic:pic>
              </a:graphicData>
            </a:graphic>
          </wp:inline>
        </w:drawing>
      </w:r>
    </w:p>
    <w:p w:rsidR="00B13341" w:rsidRDefault="00B13341" w:rsidP="00BB1A5E">
      <w:pPr>
        <w:spacing w:after="0" w:line="240" w:lineRule="auto"/>
        <w:contextualSpacing/>
        <w:jc w:val="both"/>
      </w:pPr>
    </w:p>
    <w:p w:rsidR="00B13341" w:rsidRPr="00C95F78" w:rsidRDefault="00B13341" w:rsidP="00621010">
      <w:pPr>
        <w:pStyle w:val="Caption"/>
        <w:contextualSpacing/>
        <w:jc w:val="center"/>
        <w:rPr>
          <w:sz w:val="28"/>
          <w:szCs w:val="28"/>
        </w:rPr>
      </w:pPr>
      <w:bookmarkStart w:id="121" w:name="_Toc26367172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67</w:t>
      </w:r>
      <w:r w:rsidR="00D50FDC" w:rsidRPr="00C95F78">
        <w:rPr>
          <w:sz w:val="28"/>
          <w:szCs w:val="28"/>
        </w:rPr>
        <w:fldChar w:fldCharType="end"/>
      </w:r>
      <w:r w:rsidRPr="00C95F78">
        <w:rPr>
          <w:sz w:val="28"/>
          <w:szCs w:val="28"/>
        </w:rPr>
        <w:t xml:space="preserve">: </w:t>
      </w:r>
      <w:r>
        <w:rPr>
          <w:sz w:val="28"/>
          <w:szCs w:val="28"/>
        </w:rPr>
        <w:t xml:space="preserve">Forecast </w:t>
      </w:r>
      <w:r w:rsidRPr="00B13341">
        <w:rPr>
          <w:sz w:val="28"/>
          <w:szCs w:val="28"/>
        </w:rPr>
        <w:t>Solar PV Market for Copper by Fabricated Product</w:t>
      </w:r>
      <w:r>
        <w:rPr>
          <w:sz w:val="28"/>
          <w:szCs w:val="28"/>
        </w:rPr>
        <w:t xml:space="preserve"> (kt Cu)</w:t>
      </w:r>
      <w:bookmarkEnd w:id="121"/>
    </w:p>
    <w:p w:rsidR="00B13341" w:rsidRDefault="00B13341" w:rsidP="00BB1A5E">
      <w:pPr>
        <w:spacing w:after="0" w:line="240" w:lineRule="auto"/>
        <w:contextualSpacing/>
        <w:jc w:val="both"/>
      </w:pPr>
      <w:r w:rsidRPr="00B13341">
        <w:rPr>
          <w:noProof/>
          <w:lang w:val="en-US"/>
        </w:rPr>
        <w:drawing>
          <wp:inline distT="0" distB="0" distL="0" distR="0">
            <wp:extent cx="5831840" cy="3266234"/>
            <wp:effectExtent l="1905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5831840" cy="3266234"/>
                    </a:xfrm>
                    <a:prstGeom prst="rect">
                      <a:avLst/>
                    </a:prstGeom>
                    <a:noFill/>
                    <a:ln w="9525">
                      <a:noFill/>
                      <a:miter lim="800000"/>
                      <a:headEnd/>
                      <a:tailEnd/>
                    </a:ln>
                  </pic:spPr>
                </pic:pic>
              </a:graphicData>
            </a:graphic>
          </wp:inline>
        </w:drawing>
      </w:r>
    </w:p>
    <w:p w:rsidR="000D4FF9" w:rsidRDefault="000D4FF9" w:rsidP="00BB1A5E">
      <w:pPr>
        <w:spacing w:after="0" w:line="240" w:lineRule="auto"/>
        <w:contextualSpacing/>
        <w:jc w:val="both"/>
      </w:pPr>
      <w:r>
        <w:t xml:space="preserve">In total, we forecast that the global market for solar PV will expand from 34 kt in 2010 to 74 kt in 2020. The European market will grow from 23 kt to 28 kt. As mentioned above, there is a potential for much more rapid growth in solar PV, in which case copper use would be higher. </w:t>
      </w:r>
    </w:p>
    <w:p w:rsidR="000D4FF9" w:rsidRDefault="000D4FF9" w:rsidP="00BB1A5E">
      <w:pPr>
        <w:spacing w:after="0" w:line="240" w:lineRule="auto"/>
        <w:contextualSpacing/>
        <w:jc w:val="both"/>
      </w:pPr>
    </w:p>
    <w:p w:rsidR="000D4FF9" w:rsidRDefault="000D4FF9" w:rsidP="00BB1A5E">
      <w:pPr>
        <w:spacing w:after="0" w:line="240" w:lineRule="auto"/>
        <w:contextualSpacing/>
        <w:jc w:val="both"/>
      </w:pPr>
      <w:r>
        <w:t xml:space="preserve">Greater penetration of solar PV would be stimulated by cheap CIGs or other thin film solar cell technologies. If this were to happen this would create a small market </w:t>
      </w:r>
      <w:r w:rsidR="00C253D8">
        <w:t>for copper in CIGs themselves (</w:t>
      </w:r>
      <w:r>
        <w:t>1 kt by 2020 even taking the most optimistic projections), but more importantly should mean a higher intensity of use of copper. Thin film panels are relatively inefficient, meaning that the area they must cover for a given output is smaller, this in turn meaning that more cable would be required.</w:t>
      </w:r>
    </w:p>
    <w:p w:rsidR="000D4FF9" w:rsidRDefault="000D4FF9" w:rsidP="00BB1A5E">
      <w:pPr>
        <w:spacing w:after="0" w:line="240" w:lineRule="auto"/>
        <w:contextualSpacing/>
        <w:jc w:val="both"/>
      </w:pPr>
    </w:p>
    <w:p w:rsidR="000D4FF9" w:rsidRDefault="001C2CD3" w:rsidP="00BB1A5E">
      <w:pPr>
        <w:spacing w:after="0" w:line="240" w:lineRule="auto"/>
        <w:contextualSpacing/>
        <w:jc w:val="both"/>
      </w:pPr>
      <w:r>
        <w:t>As is the case for</w:t>
      </w:r>
      <w:r w:rsidR="000D4FF9">
        <w:t xml:space="preserve"> wind power, the market for solar PV is reasonably well established, so </w:t>
      </w:r>
      <w:r>
        <w:t xml:space="preserve">in total </w:t>
      </w:r>
      <w:r w:rsidR="000D4FF9">
        <w:t>it does not fit the definition of an “emerging” market as used in this Report. This being said, spe</w:t>
      </w:r>
      <w:r>
        <w:t>cific sectors within solar PV</w:t>
      </w:r>
      <w:r w:rsidR="000D4FF9">
        <w:t xml:space="preserve"> (such as power electronics or specially adapted cabling) may be defined as emerging. The possibility of very high upside potential also makes this a market worth monitoring very closely.</w:t>
      </w:r>
    </w:p>
    <w:p w:rsidR="005A48E2" w:rsidRPr="00C95F78" w:rsidRDefault="005A48E2" w:rsidP="00BB1A5E">
      <w:pPr>
        <w:spacing w:after="0" w:line="240" w:lineRule="auto"/>
        <w:contextualSpacing/>
        <w:jc w:val="both"/>
      </w:pPr>
    </w:p>
    <w:p w:rsidR="0080674D" w:rsidRPr="00C95F78" w:rsidRDefault="0080674D"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22" w:name="_Toc263688592"/>
      <w:r>
        <w:rPr>
          <w:rFonts w:asciiTheme="minorHAnsi" w:hAnsiTheme="minorHAnsi"/>
          <w:color w:val="365F91" w:themeColor="accent1" w:themeShade="BF"/>
          <w:sz w:val="30"/>
          <w:szCs w:val="30"/>
        </w:rPr>
        <w:t>Other Renewables</w:t>
      </w:r>
      <w:r w:rsidR="00A55203">
        <w:rPr>
          <w:rFonts w:asciiTheme="minorHAnsi" w:hAnsiTheme="minorHAnsi"/>
          <w:color w:val="365F91" w:themeColor="accent1" w:themeShade="BF"/>
          <w:sz w:val="30"/>
          <w:szCs w:val="30"/>
        </w:rPr>
        <w:t>-Based</w:t>
      </w:r>
      <w:r>
        <w:rPr>
          <w:rFonts w:asciiTheme="minorHAnsi" w:hAnsiTheme="minorHAnsi"/>
          <w:color w:val="365F91" w:themeColor="accent1" w:themeShade="BF"/>
          <w:sz w:val="30"/>
          <w:szCs w:val="30"/>
        </w:rPr>
        <w:t xml:space="preserve"> and Distributed </w:t>
      </w:r>
      <w:r w:rsidR="00A55203">
        <w:rPr>
          <w:rFonts w:asciiTheme="minorHAnsi" w:hAnsiTheme="minorHAnsi"/>
          <w:color w:val="365F91" w:themeColor="accent1" w:themeShade="BF"/>
          <w:sz w:val="30"/>
          <w:szCs w:val="30"/>
        </w:rPr>
        <w:t xml:space="preserve">Electricity </w:t>
      </w:r>
      <w:r>
        <w:rPr>
          <w:rFonts w:asciiTheme="minorHAnsi" w:hAnsiTheme="minorHAnsi"/>
          <w:color w:val="365F91" w:themeColor="accent1" w:themeShade="BF"/>
          <w:sz w:val="30"/>
          <w:szCs w:val="30"/>
        </w:rPr>
        <w:t>Generation</w:t>
      </w:r>
      <w:bookmarkEnd w:id="122"/>
    </w:p>
    <w:p w:rsidR="0080674D" w:rsidRPr="00C95F78" w:rsidRDefault="0080674D" w:rsidP="00BB1A5E">
      <w:pPr>
        <w:spacing w:after="0" w:line="240" w:lineRule="auto"/>
        <w:contextualSpacing/>
        <w:jc w:val="both"/>
      </w:pPr>
    </w:p>
    <w:p w:rsidR="0080674D" w:rsidRPr="00B32B5F" w:rsidRDefault="0080674D"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23" w:name="_Toc263688593"/>
      <w:r w:rsidRPr="00B32B5F">
        <w:rPr>
          <w:rFonts w:asciiTheme="minorHAnsi" w:hAnsiTheme="minorHAnsi"/>
          <w:color w:val="365F91" w:themeColor="accent1" w:themeShade="BF"/>
          <w:sz w:val="26"/>
          <w:szCs w:val="26"/>
        </w:rPr>
        <w:t>Sector Background</w:t>
      </w:r>
      <w:bookmarkEnd w:id="123"/>
    </w:p>
    <w:p w:rsidR="007B697C" w:rsidRDefault="007B697C" w:rsidP="00BB1A5E">
      <w:pPr>
        <w:spacing w:after="0" w:line="240" w:lineRule="auto"/>
        <w:contextualSpacing/>
        <w:jc w:val="both"/>
      </w:pPr>
    </w:p>
    <w:p w:rsidR="00EF3CDB" w:rsidRDefault="00A55203" w:rsidP="00BB1A5E">
      <w:pPr>
        <w:spacing w:after="0" w:line="240" w:lineRule="auto"/>
        <w:contextualSpacing/>
        <w:jc w:val="both"/>
      </w:pPr>
      <w:r>
        <w:t xml:space="preserve">The main focus of interest in renewable-based and distributed generation is in wind power and solar PV, </w:t>
      </w:r>
      <w:r w:rsidR="00EF3CDB">
        <w:t xml:space="preserve">but </w:t>
      </w:r>
      <w:r>
        <w:t>other markets within this sector merit some attention. Already, small hydro and biomass are significant markets. Their growth rate is expected to be lower than that in either wind or solar PV,</w:t>
      </w:r>
      <w:r w:rsidR="00EF3CDB">
        <w:t xml:space="preserve"> </w:t>
      </w:r>
      <w:r>
        <w:t>and their copper content per MW relatively</w:t>
      </w:r>
      <w:r w:rsidR="00EF3CDB">
        <w:t>. Still, there is potential for copper in both. Forecasts for biomass and small hydro are presented in this Section and in Section 3.6.</w:t>
      </w:r>
    </w:p>
    <w:p w:rsidR="00EF3CDB" w:rsidRDefault="00EF3CDB" w:rsidP="00BB1A5E">
      <w:pPr>
        <w:spacing w:after="0" w:line="240" w:lineRule="auto"/>
        <w:contextualSpacing/>
        <w:jc w:val="both"/>
      </w:pPr>
    </w:p>
    <w:p w:rsidR="0080674D" w:rsidRDefault="00EF3CDB" w:rsidP="00BB1A5E">
      <w:pPr>
        <w:spacing w:after="0" w:line="240" w:lineRule="auto"/>
        <w:contextualSpacing/>
        <w:jc w:val="both"/>
      </w:pPr>
      <w:r>
        <w:t xml:space="preserve">There are two other markets that, although quite small, have major potential. We include concentrating solar power (CSP) and marine power in this category, </w:t>
      </w:r>
      <w:r w:rsidR="00621010">
        <w:t>and cover them separately below.</w:t>
      </w:r>
    </w:p>
    <w:p w:rsidR="00EF3CDB" w:rsidRDefault="00EF3CDB" w:rsidP="00BB1A5E">
      <w:pPr>
        <w:spacing w:after="0" w:line="240" w:lineRule="auto"/>
        <w:contextualSpacing/>
        <w:jc w:val="both"/>
      </w:pPr>
    </w:p>
    <w:p w:rsidR="0080674D" w:rsidRPr="007A1D02" w:rsidRDefault="00EF3CDB"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24" w:name="_Toc263688594"/>
      <w:r>
        <w:rPr>
          <w:rFonts w:asciiTheme="minorHAnsi" w:hAnsiTheme="minorHAnsi"/>
          <w:color w:val="365F91" w:themeColor="accent1" w:themeShade="BF"/>
          <w:sz w:val="26"/>
          <w:szCs w:val="26"/>
        </w:rPr>
        <w:t>Concentrating Solar Power</w:t>
      </w:r>
      <w:bookmarkEnd w:id="124"/>
    </w:p>
    <w:p w:rsidR="0080674D" w:rsidRDefault="0080674D" w:rsidP="00BB1A5E">
      <w:pPr>
        <w:spacing w:after="0" w:line="240" w:lineRule="auto"/>
        <w:contextualSpacing/>
        <w:jc w:val="both"/>
      </w:pPr>
    </w:p>
    <w:p w:rsidR="00EF3CDB" w:rsidRPr="00EF3CDB" w:rsidRDefault="00EF3CDB" w:rsidP="00BB1A5E">
      <w:pPr>
        <w:spacing w:after="0" w:line="240" w:lineRule="auto"/>
        <w:contextualSpacing/>
        <w:jc w:val="both"/>
        <w:rPr>
          <w:b/>
          <w:color w:val="365F91" w:themeColor="accent1" w:themeShade="BF"/>
          <w:sz w:val="24"/>
          <w:szCs w:val="24"/>
        </w:rPr>
      </w:pPr>
      <w:r>
        <w:rPr>
          <w:b/>
          <w:color w:val="365F91" w:themeColor="accent1" w:themeShade="BF"/>
          <w:sz w:val="24"/>
          <w:szCs w:val="24"/>
        </w:rPr>
        <w:t>Sector Background</w:t>
      </w:r>
    </w:p>
    <w:p w:rsidR="00EF3CDB" w:rsidRDefault="00EF3CDB" w:rsidP="00BB1A5E">
      <w:pPr>
        <w:spacing w:after="0" w:line="240" w:lineRule="auto"/>
        <w:contextualSpacing/>
        <w:jc w:val="both"/>
      </w:pPr>
    </w:p>
    <w:p w:rsidR="001C2CD3" w:rsidRDefault="00E86723" w:rsidP="00BB1A5E">
      <w:pPr>
        <w:spacing w:after="0" w:line="240" w:lineRule="auto"/>
        <w:jc w:val="both"/>
      </w:pPr>
      <w:r>
        <w:t xml:space="preserve">As </w:t>
      </w:r>
      <w:r w:rsidRPr="00E41D6C">
        <w:t>an alternative to solar PV, the sun’s energy c</w:t>
      </w:r>
      <w:r w:rsidR="001C2CD3">
        <w:t>an be actively utilised</w:t>
      </w:r>
      <w:r w:rsidRPr="00E41D6C">
        <w:t xml:space="preserve"> using </w:t>
      </w:r>
      <w:hyperlink r:id="rId93" w:tooltip="Concentrating solar power" w:history="1">
        <w:r w:rsidRPr="00E41D6C">
          <w:t>concentrating solar power</w:t>
        </w:r>
      </w:hyperlink>
      <w:r w:rsidRPr="00E41D6C">
        <w:t xml:space="preserve"> (CSP). Here, the sun’s energy is used to boil water, which is then used to provide power in the form of electricity or heat. </w:t>
      </w:r>
      <w:r>
        <w:t xml:space="preserve">As well as its significant potential in its own right, the technology has been used alongside a modern, large, reverse osmosis desalination plant in Abu Dhabi. </w:t>
      </w:r>
    </w:p>
    <w:p w:rsidR="001C2CD3" w:rsidRDefault="001C2CD3" w:rsidP="00BB1A5E">
      <w:pPr>
        <w:spacing w:after="0" w:line="240" w:lineRule="auto"/>
        <w:jc w:val="both"/>
      </w:pPr>
    </w:p>
    <w:p w:rsidR="00E86723" w:rsidRDefault="00E86723" w:rsidP="00BB1A5E">
      <w:pPr>
        <w:spacing w:after="0" w:line="240" w:lineRule="auto"/>
        <w:jc w:val="both"/>
      </w:pPr>
      <w:r>
        <w:t>The combination may have great potential elsewhere.</w:t>
      </w:r>
      <w:r w:rsidR="004450A8">
        <w:t xml:space="preserve"> Some of the CSP systems in place are combined cycle, combining CSP technology with fossil fuel based steam turbine generation. Today, there is a growing interest in pure CSP technology.</w:t>
      </w:r>
    </w:p>
    <w:p w:rsidR="00E86723" w:rsidRDefault="00E86723" w:rsidP="00BB1A5E">
      <w:pPr>
        <w:spacing w:after="0" w:line="240" w:lineRule="auto"/>
        <w:jc w:val="both"/>
      </w:pPr>
    </w:p>
    <w:p w:rsidR="00EF3CDB" w:rsidRPr="00EF3CDB" w:rsidRDefault="00EF3CDB" w:rsidP="00BB1A5E">
      <w:pPr>
        <w:spacing w:after="0" w:line="240" w:lineRule="auto"/>
        <w:contextualSpacing/>
        <w:jc w:val="both"/>
        <w:rPr>
          <w:b/>
          <w:color w:val="365F91" w:themeColor="accent1" w:themeShade="BF"/>
          <w:sz w:val="24"/>
          <w:szCs w:val="24"/>
        </w:rPr>
      </w:pPr>
      <w:r>
        <w:rPr>
          <w:b/>
          <w:color w:val="365F91" w:themeColor="accent1" w:themeShade="BF"/>
          <w:sz w:val="24"/>
          <w:szCs w:val="24"/>
        </w:rPr>
        <w:t>Alternative Technical and Market Solutions</w:t>
      </w:r>
    </w:p>
    <w:p w:rsidR="00EF3CDB" w:rsidRDefault="00EF3CDB" w:rsidP="00BB1A5E">
      <w:pPr>
        <w:spacing w:after="0" w:line="240" w:lineRule="auto"/>
        <w:contextualSpacing/>
        <w:jc w:val="both"/>
      </w:pPr>
    </w:p>
    <w:p w:rsidR="00DE612C" w:rsidRDefault="00E86723" w:rsidP="00BB1A5E">
      <w:pPr>
        <w:spacing w:after="0" w:line="240" w:lineRule="auto"/>
        <w:jc w:val="both"/>
      </w:pPr>
      <w:r>
        <w:t>Concentrating Solar Power (CS</w:t>
      </w:r>
      <w:r w:rsidR="00E476E5" w:rsidRPr="00C95F78">
        <w:t>P) systems produce heat or electricity using numerous mirrors to concentrate the sun’s rays to a temperature</w:t>
      </w:r>
      <w:r w:rsidR="00816DA2">
        <w:t xml:space="preserve"> typically between 400 and 1000°</w:t>
      </w:r>
      <w:r w:rsidR="00E476E5" w:rsidRPr="00C95F78">
        <w:t xml:space="preserve">C. </w:t>
      </w:r>
      <w:r w:rsidR="00DE612C" w:rsidRPr="00DE612C">
        <w:t>The collecting units heat oil</w:t>
      </w:r>
      <w:r w:rsidR="00DE612C">
        <w:t xml:space="preserve">, or in some cases salt. The hot medium is used when required to create steam, which is then used to drive </w:t>
      </w:r>
      <w:r w:rsidR="00DE612C" w:rsidRPr="00DE612C">
        <w:t>a traditional steam turbine / transformer set up.</w:t>
      </w:r>
      <w:r w:rsidR="00DE612C">
        <w:t xml:space="preserve"> Unlike most distributed electricity, CSP has the capacity to store energy (in the form of heat).</w:t>
      </w:r>
    </w:p>
    <w:p w:rsidR="00DE612C" w:rsidRDefault="00DE612C" w:rsidP="00BB1A5E">
      <w:pPr>
        <w:spacing w:after="0" w:line="240" w:lineRule="auto"/>
        <w:jc w:val="both"/>
      </w:pPr>
    </w:p>
    <w:p w:rsidR="00B329D7" w:rsidRDefault="00B329D7" w:rsidP="00BB1A5E">
      <w:pPr>
        <w:spacing w:after="0" w:line="240" w:lineRule="auto"/>
        <w:jc w:val="both"/>
      </w:pPr>
      <w:r>
        <w:t xml:space="preserve">The number of CSP plants in existence is quite small, but most of those that are in place are large. </w:t>
      </w:r>
      <w:r w:rsidR="00E476E5" w:rsidRPr="00C95F78">
        <w:t>Individual CSP plants are now typically between 50 and 280</w:t>
      </w:r>
      <w:r>
        <w:t xml:space="preserve"> </w:t>
      </w:r>
      <w:r w:rsidR="00E476E5" w:rsidRPr="00C95F78">
        <w:t xml:space="preserve">MW in size, but could be larger still. </w:t>
      </w:r>
    </w:p>
    <w:p w:rsidR="00E476E5" w:rsidRDefault="00B329D7" w:rsidP="00BB1A5E">
      <w:pPr>
        <w:spacing w:after="0" w:line="240" w:lineRule="auto"/>
        <w:jc w:val="both"/>
      </w:pPr>
      <w:r>
        <w:t xml:space="preserve">The range of CSP is limited to parts of the world where </w:t>
      </w:r>
      <w:r w:rsidRPr="00B329D7">
        <w:t>there is sufficient irradiated heat from the sun. This really means Spain and Portugal</w:t>
      </w:r>
      <w:r>
        <w:t xml:space="preserve"> in Europe, with some potential</w:t>
      </w:r>
      <w:r w:rsidRPr="00B329D7">
        <w:t xml:space="preserve"> in Italy and Greece. Unlike </w:t>
      </w:r>
      <w:r>
        <w:t>solar PV, CSP is not able to capture</w:t>
      </w:r>
      <w:r w:rsidRPr="00B329D7">
        <w:t xml:space="preserve"> diffuse sun energy.</w:t>
      </w:r>
      <w:r>
        <w:t xml:space="preserve"> Still, this leaves large areas of the world where there is CSP potential, including </w:t>
      </w:r>
      <w:r w:rsidR="00E476E5" w:rsidRPr="00C95F78">
        <w:t>North Africa</w:t>
      </w:r>
      <w:r>
        <w:t>, the</w:t>
      </w:r>
      <w:r w:rsidR="00E476E5" w:rsidRPr="00C95F78">
        <w:t xml:space="preserve"> Middle East, parts of India, China, </w:t>
      </w:r>
      <w:r>
        <w:t>s</w:t>
      </w:r>
      <w:r w:rsidR="00E476E5" w:rsidRPr="00C95F78">
        <w:t>outhern U</w:t>
      </w:r>
      <w:r>
        <w:t>nited States and</w:t>
      </w:r>
      <w:r w:rsidR="00E476E5" w:rsidRPr="00C95F78">
        <w:t xml:space="preserve"> Australia.</w:t>
      </w:r>
    </w:p>
    <w:p w:rsidR="00B329D7" w:rsidRPr="00C95F78" w:rsidRDefault="00B329D7" w:rsidP="00BB1A5E">
      <w:pPr>
        <w:spacing w:after="0" w:line="240" w:lineRule="auto"/>
        <w:jc w:val="both"/>
      </w:pPr>
    </w:p>
    <w:p w:rsidR="00DE612C" w:rsidRDefault="00DE612C" w:rsidP="00BB1A5E">
      <w:pPr>
        <w:autoSpaceDE w:val="0"/>
        <w:autoSpaceDN w:val="0"/>
        <w:adjustRightInd w:val="0"/>
        <w:spacing w:after="0" w:line="240" w:lineRule="auto"/>
        <w:jc w:val="both"/>
      </w:pPr>
      <w:r>
        <w:t xml:space="preserve">A </w:t>
      </w:r>
      <w:r w:rsidRPr="00C95F78">
        <w:t xml:space="preserve">CSP </w:t>
      </w:r>
      <w:r>
        <w:t>system consists of the following four elements:</w:t>
      </w:r>
    </w:p>
    <w:p w:rsidR="00DE612C" w:rsidRPr="00C95F78" w:rsidRDefault="00DE612C" w:rsidP="00BB1A5E">
      <w:pPr>
        <w:autoSpaceDE w:val="0"/>
        <w:autoSpaceDN w:val="0"/>
        <w:adjustRightInd w:val="0"/>
        <w:spacing w:after="0" w:line="240" w:lineRule="auto"/>
        <w:jc w:val="both"/>
      </w:pPr>
    </w:p>
    <w:p w:rsidR="00DE612C" w:rsidRPr="00C95F78" w:rsidRDefault="00DE612C" w:rsidP="00BB1A5E">
      <w:pPr>
        <w:pStyle w:val="ListParagraph"/>
        <w:numPr>
          <w:ilvl w:val="0"/>
          <w:numId w:val="28"/>
        </w:numPr>
        <w:autoSpaceDE w:val="0"/>
        <w:autoSpaceDN w:val="0"/>
        <w:adjustRightInd w:val="0"/>
        <w:spacing w:after="120" w:line="240" w:lineRule="auto"/>
        <w:ind w:left="714" w:hanging="357"/>
        <w:contextualSpacing w:val="0"/>
        <w:jc w:val="both"/>
      </w:pPr>
      <w:r w:rsidRPr="00C95F78">
        <w:t xml:space="preserve">Concentrator or collector: </w:t>
      </w:r>
      <w:r>
        <w:t>Mirrors capturing the solar radiation</w:t>
      </w:r>
      <w:r w:rsidRPr="00C95F78">
        <w:t xml:space="preserve"> and delivers it to the receiver</w:t>
      </w:r>
      <w:r>
        <w:t>.</w:t>
      </w:r>
    </w:p>
    <w:p w:rsidR="00DE612C" w:rsidRPr="00C95F78" w:rsidRDefault="00DE612C" w:rsidP="00BB1A5E">
      <w:pPr>
        <w:pStyle w:val="ListParagraph"/>
        <w:numPr>
          <w:ilvl w:val="0"/>
          <w:numId w:val="28"/>
        </w:numPr>
        <w:autoSpaceDE w:val="0"/>
        <w:autoSpaceDN w:val="0"/>
        <w:adjustRightInd w:val="0"/>
        <w:spacing w:after="120" w:line="240" w:lineRule="auto"/>
        <w:ind w:left="714" w:hanging="357"/>
        <w:contextualSpacing w:val="0"/>
        <w:jc w:val="both"/>
      </w:pPr>
      <w:r>
        <w:t>Receiver: A</w:t>
      </w:r>
      <w:r w:rsidRPr="00C95F78">
        <w:t>bsorbs the concentrated sunlight, transferring heat energy to a working fluid via a transfer system (usually a mineral oil, or more rarely, molten salts or metals, steam or air)</w:t>
      </w:r>
      <w:r>
        <w:t>.</w:t>
      </w:r>
    </w:p>
    <w:p w:rsidR="00DE612C" w:rsidRPr="00C95F78" w:rsidRDefault="00DE612C" w:rsidP="00BB1A5E">
      <w:pPr>
        <w:pStyle w:val="ListParagraph"/>
        <w:numPr>
          <w:ilvl w:val="0"/>
          <w:numId w:val="28"/>
        </w:numPr>
        <w:autoSpaceDE w:val="0"/>
        <w:autoSpaceDN w:val="0"/>
        <w:adjustRightInd w:val="0"/>
        <w:spacing w:after="120" w:line="240" w:lineRule="auto"/>
        <w:ind w:left="714" w:hanging="357"/>
        <w:contextualSpacing w:val="0"/>
        <w:jc w:val="both"/>
      </w:pPr>
      <w:r>
        <w:t>Transport and Storage System:</w:t>
      </w:r>
      <w:r w:rsidRPr="00C95F78">
        <w:t xml:space="preserve"> </w:t>
      </w:r>
      <w:r>
        <w:t>P</w:t>
      </w:r>
      <w:r w:rsidRPr="00C95F78">
        <w:t>asses the fluid</w:t>
      </w:r>
      <w:r>
        <w:t xml:space="preserve"> from the receiver to the power </w:t>
      </w:r>
      <w:r w:rsidRPr="00C95F78">
        <w:t>conversion system.</w:t>
      </w:r>
    </w:p>
    <w:p w:rsidR="00DE612C" w:rsidRPr="00C95F78" w:rsidRDefault="004450A8" w:rsidP="00BB1A5E">
      <w:pPr>
        <w:pStyle w:val="ListParagraph"/>
        <w:numPr>
          <w:ilvl w:val="0"/>
          <w:numId w:val="28"/>
        </w:numPr>
        <w:autoSpaceDE w:val="0"/>
        <w:autoSpaceDN w:val="0"/>
        <w:adjustRightInd w:val="0"/>
        <w:spacing w:after="0" w:line="240" w:lineRule="auto"/>
        <w:ind w:left="714" w:hanging="357"/>
        <w:contextualSpacing w:val="0"/>
        <w:jc w:val="both"/>
      </w:pPr>
      <w:r>
        <w:t>Power conversion: Usually a steam turbine generating electricity on demand.</w:t>
      </w:r>
    </w:p>
    <w:p w:rsidR="00E476E5" w:rsidRDefault="00E476E5" w:rsidP="00BB1A5E">
      <w:pPr>
        <w:autoSpaceDE w:val="0"/>
        <w:autoSpaceDN w:val="0"/>
        <w:adjustRightInd w:val="0"/>
        <w:spacing w:after="0" w:line="240" w:lineRule="auto"/>
        <w:jc w:val="both"/>
      </w:pPr>
    </w:p>
    <w:p w:rsidR="00E476E5" w:rsidRDefault="004450A8" w:rsidP="00BB1A5E">
      <w:pPr>
        <w:autoSpaceDE w:val="0"/>
        <w:autoSpaceDN w:val="0"/>
        <w:adjustRightInd w:val="0"/>
        <w:spacing w:after="0" w:line="240" w:lineRule="auto"/>
        <w:jc w:val="both"/>
      </w:pPr>
      <w:r>
        <w:t xml:space="preserve">Differences in CSP technology are centred on the collection and receiver elements of the system. Concentrating mirrors may be arranged either in line or point focussing. Line systems </w:t>
      </w:r>
      <w:r w:rsidR="00E476E5" w:rsidRPr="00C95F78">
        <w:t>concentrate radiation about 100 times, and achieve working temperatures of up to 550°C</w:t>
      </w:r>
      <w:r>
        <w:t>. P</w:t>
      </w:r>
      <w:r w:rsidR="00E476E5" w:rsidRPr="00C95F78">
        <w:t xml:space="preserve">oint systems can concentrate far more than 1,000 times and achieve working temperatures of more than 1,000°C. </w:t>
      </w:r>
    </w:p>
    <w:p w:rsidR="004450A8" w:rsidRDefault="004450A8" w:rsidP="00BB1A5E">
      <w:pPr>
        <w:autoSpaceDE w:val="0"/>
        <w:autoSpaceDN w:val="0"/>
        <w:adjustRightInd w:val="0"/>
        <w:spacing w:after="0" w:line="240" w:lineRule="auto"/>
        <w:jc w:val="both"/>
      </w:pPr>
    </w:p>
    <w:p w:rsidR="004450A8" w:rsidRDefault="004450A8" w:rsidP="00BB1A5E">
      <w:pPr>
        <w:autoSpaceDE w:val="0"/>
        <w:autoSpaceDN w:val="0"/>
        <w:adjustRightInd w:val="0"/>
        <w:spacing w:after="0" w:line="240" w:lineRule="auto"/>
        <w:jc w:val="both"/>
      </w:pPr>
    </w:p>
    <w:p w:rsidR="004450A8" w:rsidRPr="00C95F78" w:rsidRDefault="004450A8" w:rsidP="00BB1A5E">
      <w:pPr>
        <w:autoSpaceDE w:val="0"/>
        <w:autoSpaceDN w:val="0"/>
        <w:adjustRightInd w:val="0"/>
        <w:spacing w:after="0" w:line="240" w:lineRule="auto"/>
        <w:jc w:val="both"/>
      </w:pPr>
    </w:p>
    <w:p w:rsidR="004450A8" w:rsidRPr="00C95F78" w:rsidRDefault="004450A8" w:rsidP="00621010">
      <w:pPr>
        <w:pStyle w:val="Caption"/>
        <w:contextualSpacing/>
        <w:jc w:val="center"/>
        <w:rPr>
          <w:sz w:val="28"/>
          <w:szCs w:val="28"/>
        </w:rPr>
      </w:pPr>
      <w:bookmarkStart w:id="125" w:name="_Toc26367172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68</w:t>
      </w:r>
      <w:r w:rsidR="00D50FDC" w:rsidRPr="00C95F78">
        <w:rPr>
          <w:sz w:val="28"/>
          <w:szCs w:val="28"/>
        </w:rPr>
        <w:fldChar w:fldCharType="end"/>
      </w:r>
      <w:r w:rsidRPr="00C95F78">
        <w:rPr>
          <w:sz w:val="28"/>
          <w:szCs w:val="28"/>
        </w:rPr>
        <w:t xml:space="preserve">: </w:t>
      </w:r>
      <w:r>
        <w:rPr>
          <w:sz w:val="28"/>
          <w:szCs w:val="28"/>
        </w:rPr>
        <w:t>Alternative CSP Technologies</w:t>
      </w:r>
      <w:bookmarkEnd w:id="125"/>
    </w:p>
    <w:p w:rsidR="00A55203" w:rsidRDefault="00A55203" w:rsidP="00BB1A5E">
      <w:pPr>
        <w:autoSpaceDE w:val="0"/>
        <w:autoSpaceDN w:val="0"/>
        <w:adjustRightInd w:val="0"/>
        <w:spacing w:after="0" w:line="240" w:lineRule="auto"/>
        <w:jc w:val="both"/>
      </w:pPr>
      <w:r>
        <w:rPr>
          <w:noProof/>
          <w:lang w:val="en-US"/>
        </w:rPr>
        <w:drawing>
          <wp:inline distT="0" distB="0" distL="0" distR="0">
            <wp:extent cx="5436307" cy="4114800"/>
            <wp:effectExtent l="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srcRect l="-9262"/>
                    <a:stretch>
                      <a:fillRect/>
                    </a:stretch>
                  </pic:blipFill>
                  <pic:spPr bwMode="auto">
                    <a:xfrm>
                      <a:off x="0" y="0"/>
                      <a:ext cx="5436307" cy="4114800"/>
                    </a:xfrm>
                    <a:prstGeom prst="rect">
                      <a:avLst/>
                    </a:prstGeom>
                    <a:noFill/>
                    <a:ln w="9525">
                      <a:noFill/>
                      <a:miter lim="800000"/>
                      <a:headEnd/>
                      <a:tailEnd/>
                    </a:ln>
                  </pic:spPr>
                </pic:pic>
              </a:graphicData>
            </a:graphic>
          </wp:inline>
        </w:drawing>
      </w:r>
    </w:p>
    <w:p w:rsidR="001C2CD3" w:rsidRDefault="001C2CD3" w:rsidP="00BB1A5E">
      <w:pPr>
        <w:autoSpaceDE w:val="0"/>
        <w:autoSpaceDN w:val="0"/>
        <w:adjustRightInd w:val="0"/>
        <w:spacing w:after="0" w:line="240" w:lineRule="auto"/>
        <w:jc w:val="both"/>
        <w:rPr>
          <w:b/>
        </w:rPr>
      </w:pPr>
    </w:p>
    <w:p w:rsidR="0037607A" w:rsidRDefault="0037607A" w:rsidP="00BB1A5E">
      <w:pPr>
        <w:autoSpaceDE w:val="0"/>
        <w:autoSpaceDN w:val="0"/>
        <w:adjustRightInd w:val="0"/>
        <w:spacing w:after="0" w:line="240" w:lineRule="auto"/>
        <w:jc w:val="both"/>
        <w:rPr>
          <w:b/>
        </w:rPr>
      </w:pPr>
    </w:p>
    <w:p w:rsidR="004450A8" w:rsidRDefault="00BE1985" w:rsidP="00BB1A5E">
      <w:pPr>
        <w:autoSpaceDE w:val="0"/>
        <w:autoSpaceDN w:val="0"/>
        <w:adjustRightInd w:val="0"/>
        <w:spacing w:after="0" w:line="240" w:lineRule="auto"/>
        <w:jc w:val="both"/>
      </w:pPr>
      <w:r>
        <w:rPr>
          <w:b/>
        </w:rPr>
        <w:t>Parabolic T</w:t>
      </w:r>
      <w:r w:rsidR="004450A8" w:rsidRPr="00BE1985">
        <w:rPr>
          <w:b/>
        </w:rPr>
        <w:t xml:space="preserve">rough </w:t>
      </w:r>
      <w:r>
        <w:rPr>
          <w:b/>
        </w:rPr>
        <w:t>CSP</w:t>
      </w:r>
      <w:r w:rsidR="004450A8" w:rsidRPr="00BE1985">
        <w:rPr>
          <w:b/>
        </w:rPr>
        <w:t>:</w:t>
      </w:r>
      <w:r w:rsidR="004450A8" w:rsidRPr="00C95F78">
        <w:t xml:space="preserve"> Parabolic trough-shaped mirror reflectors are used to concentrate</w:t>
      </w:r>
      <w:r>
        <w:t xml:space="preserve"> </w:t>
      </w:r>
      <w:r w:rsidR="004450A8" w:rsidRPr="00C95F78">
        <w:t>sunlight on to thermally efficient receiver tubes placed in the trough’s focal line. The troughs are usually designed to track the sun along one axis, predominantly north–south. This is the most commercialized of the technologies counting for more than 90% of the current installations. Parabolic trough projects currently in operation are between 14 and 80 MW</w:t>
      </w:r>
      <w:r>
        <w:t xml:space="preserve"> capacity. E</w:t>
      </w:r>
      <w:r w:rsidR="004450A8" w:rsidRPr="00C95F78">
        <w:t>xisting plants are producing well over 500 MW of electrical capacity.</w:t>
      </w:r>
    </w:p>
    <w:p w:rsidR="00E476E5" w:rsidRPr="00C95F78" w:rsidRDefault="00E476E5" w:rsidP="00BB1A5E">
      <w:pPr>
        <w:pStyle w:val="ListParagraph"/>
        <w:autoSpaceDE w:val="0"/>
        <w:autoSpaceDN w:val="0"/>
        <w:adjustRightInd w:val="0"/>
        <w:spacing w:after="0" w:line="240" w:lineRule="auto"/>
        <w:ind w:left="0"/>
        <w:jc w:val="both"/>
      </w:pPr>
    </w:p>
    <w:p w:rsidR="00E476E5" w:rsidRPr="00C95F78" w:rsidRDefault="00E476E5" w:rsidP="00BB1A5E">
      <w:pPr>
        <w:autoSpaceDE w:val="0"/>
        <w:autoSpaceDN w:val="0"/>
        <w:adjustRightInd w:val="0"/>
        <w:spacing w:after="0" w:line="240" w:lineRule="auto"/>
        <w:jc w:val="both"/>
      </w:pPr>
      <w:r w:rsidRPr="00BE1985">
        <w:rPr>
          <w:b/>
        </w:rPr>
        <w:t xml:space="preserve">Central Receiver </w:t>
      </w:r>
      <w:r w:rsidR="00BE1985">
        <w:rPr>
          <w:b/>
        </w:rPr>
        <w:t xml:space="preserve">CSP: </w:t>
      </w:r>
      <w:r w:rsidR="00BE1985">
        <w:t>This technology, also called</w:t>
      </w:r>
      <w:r w:rsidRPr="00BE1985">
        <w:rPr>
          <w:b/>
        </w:rPr>
        <w:t xml:space="preserve"> </w:t>
      </w:r>
      <w:r w:rsidRPr="00BE1985">
        <w:t xml:space="preserve">Central Tower </w:t>
      </w:r>
      <w:r w:rsidR="00BE1985">
        <w:t xml:space="preserve">or Solar Tower </w:t>
      </w:r>
      <w:r w:rsidR="00BE1985" w:rsidRPr="00BE1985">
        <w:t>CSP, utilises a</w:t>
      </w:r>
      <w:r w:rsidRPr="00C95F78">
        <w:t xml:space="preserve"> circular array of large mirrors with sun-tracking motion concentrates sunlight on to a central receiver mounted at the top of a tower. A heat-transfer medium in this central receiver absorbs the highly concentrated radiation reflected by the heliostats and converts it into thermal energy, which is used to generate su</w:t>
      </w:r>
      <w:r w:rsidR="00BE1985">
        <w:t xml:space="preserve">perheated steam for a turbine. </w:t>
      </w:r>
      <w:r w:rsidRPr="00C95F78">
        <w:t xml:space="preserve">This technology is </w:t>
      </w:r>
      <w:r w:rsidR="00BE1985">
        <w:t>commercial and attracting growing interest</w:t>
      </w:r>
      <w:r w:rsidRPr="00C95F78">
        <w:t xml:space="preserve"> </w:t>
      </w:r>
    </w:p>
    <w:p w:rsidR="00E476E5" w:rsidRPr="00C95F78" w:rsidRDefault="00E476E5" w:rsidP="00BB1A5E">
      <w:pPr>
        <w:pStyle w:val="ListParagraph"/>
        <w:autoSpaceDE w:val="0"/>
        <w:autoSpaceDN w:val="0"/>
        <w:adjustRightInd w:val="0"/>
        <w:spacing w:after="0" w:line="240" w:lineRule="auto"/>
        <w:ind w:left="0"/>
        <w:jc w:val="both"/>
        <w:rPr>
          <w:rFonts w:cs="HelveticaNeueLTCom-Lt"/>
          <w:color w:val="272627"/>
          <w:sz w:val="18"/>
          <w:szCs w:val="18"/>
        </w:rPr>
      </w:pPr>
    </w:p>
    <w:p w:rsidR="00BE1985" w:rsidRDefault="00BE1985" w:rsidP="00BB1A5E">
      <w:pPr>
        <w:autoSpaceDE w:val="0"/>
        <w:autoSpaceDN w:val="0"/>
        <w:adjustRightInd w:val="0"/>
        <w:spacing w:after="0" w:line="240" w:lineRule="auto"/>
        <w:jc w:val="both"/>
      </w:pPr>
      <w:r>
        <w:rPr>
          <w:b/>
        </w:rPr>
        <w:t>Linear Fresnel Reflector CSP</w:t>
      </w:r>
      <w:r w:rsidR="00E476E5" w:rsidRPr="00BE1985">
        <w:rPr>
          <w:b/>
        </w:rPr>
        <w:t>:</w:t>
      </w:r>
      <w:r>
        <w:rPr>
          <w:b/>
        </w:rPr>
        <w:t xml:space="preserve"> </w:t>
      </w:r>
      <w:r w:rsidRPr="00BE1985">
        <w:t>This is similar in concept to parabolic trough CSP but, using</w:t>
      </w:r>
      <w:r>
        <w:rPr>
          <w:b/>
        </w:rPr>
        <w:t xml:space="preserve"> </w:t>
      </w:r>
      <w:r w:rsidR="00E476E5" w:rsidRPr="00C95F78">
        <w:t xml:space="preserve">nearly-flat </w:t>
      </w:r>
      <w:r>
        <w:t xml:space="preserve">mirror </w:t>
      </w:r>
      <w:r w:rsidR="00E476E5" w:rsidRPr="00C95F78">
        <w:t>reflectors</w:t>
      </w:r>
      <w:r>
        <w:t>, the cost is significantly lower</w:t>
      </w:r>
      <w:r w:rsidR="005E74BD">
        <w:t xml:space="preserve"> in mirror cost and structural support</w:t>
      </w:r>
      <w:r>
        <w:t>.</w:t>
      </w:r>
      <w:r w:rsidR="005E74BD">
        <w:t xml:space="preserve"> It also uses cheaper absorber components. On the downside, Fresnel technology is less efficient than Parabolic Trough.</w:t>
      </w:r>
    </w:p>
    <w:p w:rsidR="00BE1985" w:rsidRDefault="00BE1985" w:rsidP="00BB1A5E">
      <w:pPr>
        <w:autoSpaceDE w:val="0"/>
        <w:autoSpaceDN w:val="0"/>
        <w:adjustRightInd w:val="0"/>
        <w:spacing w:after="0" w:line="240" w:lineRule="auto"/>
        <w:jc w:val="both"/>
      </w:pPr>
    </w:p>
    <w:p w:rsidR="00E476E5" w:rsidRPr="00C95F78" w:rsidRDefault="005E74BD" w:rsidP="00BB1A5E">
      <w:pPr>
        <w:autoSpaceDE w:val="0"/>
        <w:autoSpaceDN w:val="0"/>
        <w:adjustRightInd w:val="0"/>
        <w:spacing w:after="0" w:line="240" w:lineRule="auto"/>
        <w:jc w:val="both"/>
      </w:pPr>
      <w:r>
        <w:rPr>
          <w:b/>
        </w:rPr>
        <w:t>Parabolic Dish CSP</w:t>
      </w:r>
      <w:r w:rsidR="00E476E5" w:rsidRPr="00BE1985">
        <w:rPr>
          <w:b/>
        </w:rPr>
        <w:t xml:space="preserve">: </w:t>
      </w:r>
      <w:r w:rsidR="00E476E5" w:rsidRPr="00C95F78">
        <w:t>A parabolic dish-shaped reflector concentrates sunlight on to a receiver located at the focal point of the dish.</w:t>
      </w:r>
      <w:r>
        <w:t xml:space="preserve"> </w:t>
      </w:r>
      <w:r w:rsidR="00E476E5" w:rsidRPr="00C95F78">
        <w:t xml:space="preserve">This technology is </w:t>
      </w:r>
      <w:r>
        <w:t>modular, allowing CSP to be used in small scale electricity generation as well as the normal large plant designs.</w:t>
      </w:r>
      <w:r w:rsidR="00256D0C">
        <w:t xml:space="preserve"> </w:t>
      </w:r>
      <w:r w:rsidR="00E476E5" w:rsidRPr="00C95F78">
        <w:t xml:space="preserve">Each dish </w:t>
      </w:r>
      <w:r>
        <w:t>typically has 10kW capacity.</w:t>
      </w:r>
      <w:r w:rsidR="00E476E5" w:rsidRPr="00C95F78">
        <w:t xml:space="preserve"> </w:t>
      </w:r>
      <w:r w:rsidR="0037607A">
        <w:t>Unlike other CSP technologies,</w:t>
      </w:r>
      <w:r>
        <w:t xml:space="preserve"> Parabolic Dish CSP</w:t>
      </w:r>
      <w:r w:rsidR="00E476E5" w:rsidRPr="00C95F78">
        <w:t xml:space="preserve"> does not have the storage facility of the other concentrating systems. </w:t>
      </w:r>
    </w:p>
    <w:p w:rsidR="00E476E5" w:rsidRDefault="00E476E5" w:rsidP="00BB1A5E">
      <w:pPr>
        <w:spacing w:after="0" w:line="240" w:lineRule="auto"/>
        <w:contextualSpacing/>
        <w:jc w:val="both"/>
      </w:pPr>
    </w:p>
    <w:p w:rsidR="00E86723" w:rsidRPr="00EF3CDB" w:rsidRDefault="00E86723" w:rsidP="00BB1A5E">
      <w:pPr>
        <w:spacing w:after="0" w:line="240" w:lineRule="auto"/>
        <w:contextualSpacing/>
        <w:jc w:val="both"/>
        <w:rPr>
          <w:b/>
          <w:color w:val="365F91" w:themeColor="accent1" w:themeShade="BF"/>
          <w:sz w:val="24"/>
          <w:szCs w:val="24"/>
        </w:rPr>
      </w:pPr>
      <w:r>
        <w:rPr>
          <w:b/>
          <w:color w:val="365F91" w:themeColor="accent1" w:themeShade="BF"/>
          <w:sz w:val="24"/>
          <w:szCs w:val="24"/>
        </w:rPr>
        <w:t>Market Forecasts by Sector</w:t>
      </w:r>
    </w:p>
    <w:p w:rsidR="00E86723" w:rsidRDefault="00E86723" w:rsidP="00BB1A5E">
      <w:pPr>
        <w:spacing w:after="0" w:line="240" w:lineRule="auto"/>
        <w:contextualSpacing/>
        <w:jc w:val="both"/>
      </w:pPr>
    </w:p>
    <w:p w:rsidR="005E74BD" w:rsidRDefault="005E74BD" w:rsidP="00BB1A5E">
      <w:pPr>
        <w:spacing w:after="0" w:line="240" w:lineRule="auto"/>
        <w:contextualSpacing/>
        <w:jc w:val="both"/>
      </w:pPr>
      <w:r>
        <w:t>To date, CSP remains a minor part of the global energy picture, with little more t</w:t>
      </w:r>
      <w:r w:rsidR="00E64406">
        <w:t>han 0.5 GW electricity generati</w:t>
      </w:r>
      <w:r>
        <w:t>ng capacity in 2009.</w:t>
      </w:r>
      <w:r w:rsidR="00E64406">
        <w:t xml:space="preserve"> Projects underway will greatly expand this installed base. In the United States, there is 1.0 GW to be installed in projects in the near term. Other projects in Spain, the Middle East (including the combined power and desalination unit in </w:t>
      </w:r>
      <w:r w:rsidR="00E64406" w:rsidRPr="00C95F78">
        <w:t>Al-Khafji</w:t>
      </w:r>
      <w:r w:rsidR="00E64406">
        <w:t>, Abu Dhabi) and North Africa will greatly enhance the profile of CSP.</w:t>
      </w:r>
    </w:p>
    <w:p w:rsidR="005E74BD" w:rsidRDefault="005E74BD" w:rsidP="00BB1A5E">
      <w:pPr>
        <w:spacing w:after="0" w:line="240" w:lineRule="auto"/>
        <w:contextualSpacing/>
        <w:jc w:val="both"/>
      </w:pPr>
    </w:p>
    <w:p w:rsidR="00B329D7" w:rsidRDefault="00B329D7" w:rsidP="00BB1A5E">
      <w:pPr>
        <w:autoSpaceDE w:val="0"/>
        <w:autoSpaceDN w:val="0"/>
        <w:adjustRightInd w:val="0"/>
        <w:spacing w:after="0" w:line="240" w:lineRule="auto"/>
        <w:jc w:val="both"/>
      </w:pPr>
    </w:p>
    <w:p w:rsidR="00D46DC4" w:rsidRPr="00C95F78" w:rsidRDefault="00D46DC4" w:rsidP="00BB1A5E">
      <w:pPr>
        <w:autoSpaceDE w:val="0"/>
        <w:autoSpaceDN w:val="0"/>
        <w:adjustRightInd w:val="0"/>
        <w:spacing w:after="0" w:line="240" w:lineRule="auto"/>
        <w:jc w:val="both"/>
      </w:pPr>
    </w:p>
    <w:p w:rsidR="00B329D7" w:rsidRPr="007A1D02" w:rsidRDefault="00B329D7" w:rsidP="00621010">
      <w:pPr>
        <w:pStyle w:val="Caption"/>
        <w:contextualSpacing/>
        <w:jc w:val="center"/>
        <w:rPr>
          <w:sz w:val="28"/>
          <w:szCs w:val="28"/>
        </w:rPr>
      </w:pPr>
      <w:bookmarkStart w:id="126" w:name="_Toc263671723"/>
      <w:r w:rsidRPr="007A1D02">
        <w:rPr>
          <w:sz w:val="28"/>
          <w:szCs w:val="28"/>
        </w:rPr>
        <w:t xml:space="preserve">Figure </w:t>
      </w:r>
      <w:r w:rsidR="00D50FDC" w:rsidRPr="007A1D02">
        <w:rPr>
          <w:sz w:val="28"/>
          <w:szCs w:val="28"/>
        </w:rPr>
        <w:fldChar w:fldCharType="begin"/>
      </w:r>
      <w:r w:rsidRPr="007A1D02">
        <w:rPr>
          <w:sz w:val="28"/>
          <w:szCs w:val="28"/>
        </w:rPr>
        <w:instrText xml:space="preserve"> SEQ Figure \* ARABIC </w:instrText>
      </w:r>
      <w:r w:rsidR="00D50FDC" w:rsidRPr="007A1D02">
        <w:rPr>
          <w:sz w:val="28"/>
          <w:szCs w:val="28"/>
        </w:rPr>
        <w:fldChar w:fldCharType="separate"/>
      </w:r>
      <w:r w:rsidR="0005759A">
        <w:rPr>
          <w:noProof/>
          <w:sz w:val="28"/>
          <w:szCs w:val="28"/>
        </w:rPr>
        <w:t>69</w:t>
      </w:r>
      <w:r w:rsidR="00D50FDC" w:rsidRPr="007A1D02">
        <w:rPr>
          <w:sz w:val="28"/>
          <w:szCs w:val="28"/>
        </w:rPr>
        <w:fldChar w:fldCharType="end"/>
      </w:r>
      <w:r w:rsidRPr="007A1D02">
        <w:rPr>
          <w:sz w:val="28"/>
          <w:szCs w:val="28"/>
        </w:rPr>
        <w:t xml:space="preserve">: Installed CSP </w:t>
      </w:r>
      <w:r w:rsidR="00E64406">
        <w:rPr>
          <w:sz w:val="28"/>
          <w:szCs w:val="28"/>
        </w:rPr>
        <w:t>Electricity Generating Capacity in</w:t>
      </w:r>
      <w:r w:rsidRPr="007A1D02">
        <w:rPr>
          <w:sz w:val="28"/>
          <w:szCs w:val="28"/>
        </w:rPr>
        <w:t xml:space="preserve"> 2009</w:t>
      </w:r>
      <w:bookmarkEnd w:id="126"/>
    </w:p>
    <w:p w:rsidR="00B329D7" w:rsidRPr="00C95F78" w:rsidRDefault="00B329D7" w:rsidP="00BB1A5E">
      <w:pPr>
        <w:autoSpaceDE w:val="0"/>
        <w:autoSpaceDN w:val="0"/>
        <w:adjustRightInd w:val="0"/>
        <w:spacing w:after="0" w:line="240" w:lineRule="auto"/>
        <w:jc w:val="both"/>
      </w:pPr>
      <w:r w:rsidRPr="00C95F78">
        <w:rPr>
          <w:noProof/>
          <w:lang w:val="en-US"/>
        </w:rPr>
        <w:drawing>
          <wp:inline distT="0" distB="0" distL="0" distR="0">
            <wp:extent cx="5732145" cy="1603375"/>
            <wp:effectExtent l="19050" t="0" r="190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5732145" cy="1603375"/>
                    </a:xfrm>
                    <a:prstGeom prst="rect">
                      <a:avLst/>
                    </a:prstGeom>
                    <a:noFill/>
                    <a:ln w="9525">
                      <a:noFill/>
                      <a:miter lim="800000"/>
                      <a:headEnd/>
                      <a:tailEnd/>
                    </a:ln>
                  </pic:spPr>
                </pic:pic>
              </a:graphicData>
            </a:graphic>
          </wp:inline>
        </w:drawing>
      </w:r>
    </w:p>
    <w:p w:rsidR="00B329D7" w:rsidRDefault="00B329D7" w:rsidP="00BB1A5E">
      <w:pPr>
        <w:spacing w:after="0" w:line="240" w:lineRule="auto"/>
        <w:contextualSpacing/>
        <w:jc w:val="both"/>
      </w:pPr>
    </w:p>
    <w:p w:rsidR="00AD672F" w:rsidRDefault="00AD672F" w:rsidP="00BB1A5E">
      <w:pPr>
        <w:autoSpaceDE w:val="0"/>
        <w:autoSpaceDN w:val="0"/>
        <w:adjustRightInd w:val="0"/>
        <w:spacing w:after="0" w:line="240" w:lineRule="auto"/>
        <w:jc w:val="both"/>
      </w:pPr>
    </w:p>
    <w:p w:rsidR="00D46DC4" w:rsidRDefault="00D46DC4" w:rsidP="00BB1A5E">
      <w:pPr>
        <w:autoSpaceDE w:val="0"/>
        <w:autoSpaceDN w:val="0"/>
        <w:adjustRightInd w:val="0"/>
        <w:spacing w:after="0" w:line="240" w:lineRule="auto"/>
        <w:jc w:val="both"/>
      </w:pPr>
    </w:p>
    <w:p w:rsidR="005E74BD" w:rsidRDefault="005E74BD" w:rsidP="00BB1A5E">
      <w:pPr>
        <w:autoSpaceDE w:val="0"/>
        <w:autoSpaceDN w:val="0"/>
        <w:adjustRightInd w:val="0"/>
        <w:spacing w:after="0" w:line="240" w:lineRule="auto"/>
        <w:jc w:val="both"/>
      </w:pPr>
      <w:r w:rsidRPr="00C95F78">
        <w:t xml:space="preserve">There are various scenarios of how CSP technologies will be developed in the future. The main challenge to be faced is cost. Innovation in systems, components as well as manufacturing technology will prove to be essential for this technology to succeed. In addition, government action can bring costs down further through preferential financing conditions and tax or investment incentives. As far as system efficiency is concerned there is still room for improvement, mainly through higher working temperatures and better receiver performances. </w:t>
      </w:r>
    </w:p>
    <w:p w:rsidR="00621010" w:rsidRPr="00C95F78" w:rsidRDefault="00621010" w:rsidP="00BB1A5E">
      <w:pPr>
        <w:autoSpaceDE w:val="0"/>
        <w:autoSpaceDN w:val="0"/>
        <w:adjustRightInd w:val="0"/>
        <w:spacing w:after="0" w:line="240" w:lineRule="auto"/>
        <w:jc w:val="both"/>
      </w:pPr>
    </w:p>
    <w:p w:rsidR="005E74BD" w:rsidRDefault="00AD672F" w:rsidP="00BB1A5E">
      <w:pPr>
        <w:pStyle w:val="ListParagraph"/>
        <w:autoSpaceDE w:val="0"/>
        <w:autoSpaceDN w:val="0"/>
        <w:adjustRightInd w:val="0"/>
        <w:spacing w:after="0" w:line="240" w:lineRule="auto"/>
        <w:ind w:left="0"/>
        <w:jc w:val="both"/>
      </w:pPr>
      <w:r>
        <w:t>While CSP evidently has great potential, it is still a relatively high cost technology. For the established technologies, the optimal size of plant is large, probably larger than most units currently in place. This means a considerable investment is needed for each new plant, making the technology harder to establish. Another issue is the use of water in CSP plants, as they are usually best located in areas where water resources are scarce.</w:t>
      </w:r>
    </w:p>
    <w:p w:rsidR="00AD672F" w:rsidRDefault="00AD672F" w:rsidP="00BB1A5E">
      <w:pPr>
        <w:pStyle w:val="ListParagraph"/>
        <w:autoSpaceDE w:val="0"/>
        <w:autoSpaceDN w:val="0"/>
        <w:adjustRightInd w:val="0"/>
        <w:spacing w:after="0" w:line="240" w:lineRule="auto"/>
        <w:ind w:left="0"/>
        <w:jc w:val="both"/>
      </w:pPr>
    </w:p>
    <w:p w:rsidR="00E64406" w:rsidRPr="00C95F78" w:rsidRDefault="00AD672F" w:rsidP="00BB1A5E">
      <w:pPr>
        <w:pStyle w:val="ListParagraph"/>
        <w:autoSpaceDE w:val="0"/>
        <w:autoSpaceDN w:val="0"/>
        <w:adjustRightInd w:val="0"/>
        <w:spacing w:after="0" w:line="240" w:lineRule="auto"/>
        <w:ind w:left="0"/>
        <w:jc w:val="both"/>
      </w:pPr>
      <w:r>
        <w:t>Technical improvements reducing cost in comparison with existing Parabolic Trough designs, the adaptation of the technology to smaller plants and the link to desalination could greatly improve the potential for CS</w:t>
      </w:r>
      <w:r w:rsidR="00791DEA">
        <w:t>P.</w:t>
      </w:r>
      <w:r w:rsidR="00E40A82">
        <w:t xml:space="preserve"> </w:t>
      </w:r>
      <w:r w:rsidR="00791DEA">
        <w:t>A</w:t>
      </w:r>
      <w:r>
        <w:t>lready, projects on the drawing board indicate that installed capacity</w:t>
      </w:r>
      <w:r w:rsidR="00AC0F14">
        <w:t xml:space="preserve"> is set to rise to 15 GW by </w:t>
      </w:r>
      <w:r w:rsidR="00AC0F14" w:rsidRPr="00C95F78">
        <w:t>2014</w:t>
      </w:r>
      <w:r w:rsidR="00AC0F14" w:rsidRPr="00C95F78">
        <w:rPr>
          <w:rStyle w:val="FootnoteReference"/>
        </w:rPr>
        <w:footnoteReference w:id="19"/>
      </w:r>
      <w:r>
        <w:t>, thus raising the capacity in place at the end of 2009 by a factor of nearly thirty.</w:t>
      </w:r>
      <w:r w:rsidR="00AC0F14">
        <w:t xml:space="preserve"> After this,</w:t>
      </w:r>
      <w:r w:rsidR="00E64406" w:rsidRPr="00C95F78">
        <w:t xml:space="preserve"> technology maturity and market deployment will most likely bring prices down, paving the way for large-scale deployment. </w:t>
      </w:r>
    </w:p>
    <w:p w:rsidR="00B329D7" w:rsidRDefault="00B329D7" w:rsidP="00BB1A5E">
      <w:pPr>
        <w:spacing w:after="0" w:line="240" w:lineRule="auto"/>
        <w:contextualSpacing/>
        <w:jc w:val="both"/>
      </w:pPr>
    </w:p>
    <w:p w:rsidR="00E86723" w:rsidRPr="00EF3CDB" w:rsidRDefault="00E86723" w:rsidP="00BB1A5E">
      <w:pPr>
        <w:spacing w:after="0" w:line="240" w:lineRule="auto"/>
        <w:contextualSpacing/>
        <w:jc w:val="both"/>
        <w:rPr>
          <w:b/>
          <w:color w:val="365F91" w:themeColor="accent1" w:themeShade="BF"/>
          <w:sz w:val="24"/>
          <w:szCs w:val="24"/>
        </w:rPr>
      </w:pPr>
      <w:r>
        <w:rPr>
          <w:b/>
          <w:color w:val="365F91" w:themeColor="accent1" w:themeShade="BF"/>
          <w:sz w:val="24"/>
          <w:szCs w:val="24"/>
        </w:rPr>
        <w:t>Impact on Copper</w:t>
      </w:r>
    </w:p>
    <w:p w:rsidR="00E86723" w:rsidRDefault="00E86723" w:rsidP="00BB1A5E">
      <w:pPr>
        <w:spacing w:after="0" w:line="240" w:lineRule="auto"/>
        <w:contextualSpacing/>
        <w:jc w:val="both"/>
      </w:pPr>
    </w:p>
    <w:p w:rsidR="00E86723" w:rsidRDefault="00D46DC4" w:rsidP="00BB1A5E">
      <w:pPr>
        <w:spacing w:after="0" w:line="240" w:lineRule="auto"/>
        <w:contextualSpacing/>
        <w:jc w:val="both"/>
      </w:pPr>
      <w:r>
        <w:t>With very different views as to the rate at which CSP will take off, there must be a considerable margin for error in our forecasts. We have taken a reasonably conservative view as to the growth path for CSP, showing 6.1 GW installed capacity in comparison with KEMA’s 15 GW. We do, however, concur that this market will be in a take-off phase in the latter half of this decade, and should be recording annual growth rates similar to those achieved by solar PV ten years earlier.</w:t>
      </w:r>
    </w:p>
    <w:p w:rsidR="00D46DC4" w:rsidRDefault="00D46DC4" w:rsidP="00BB1A5E">
      <w:pPr>
        <w:spacing w:after="0" w:line="240" w:lineRule="auto"/>
        <w:contextualSpacing/>
        <w:jc w:val="both"/>
      </w:pPr>
    </w:p>
    <w:p w:rsidR="00D46DC4" w:rsidRDefault="00D46DC4" w:rsidP="00BB1A5E">
      <w:pPr>
        <w:spacing w:after="0" w:line="240" w:lineRule="auto"/>
        <w:contextualSpacing/>
        <w:jc w:val="both"/>
      </w:pPr>
      <w:r>
        <w:t>If this forecast turns out to be accurate, the impact on copper will be significant. The rate of copper use is expected to be fairly similar to a conventional fossil fuel power station. We therefore forecast copper use on the basis of 1 kt per 1 GW of new installation. This gives us a global market of 7.5 ktpy by 2020.</w:t>
      </w:r>
    </w:p>
    <w:p w:rsidR="00D46DC4" w:rsidRDefault="00D46DC4" w:rsidP="00BB1A5E">
      <w:pPr>
        <w:spacing w:after="0" w:line="240" w:lineRule="auto"/>
        <w:contextualSpacing/>
        <w:jc w:val="both"/>
      </w:pPr>
    </w:p>
    <w:p w:rsidR="00D46DC4" w:rsidRDefault="00D46DC4" w:rsidP="00BB1A5E">
      <w:pPr>
        <w:spacing w:after="0" w:line="240" w:lineRule="auto"/>
        <w:contextualSpacing/>
        <w:jc w:val="both"/>
      </w:pPr>
    </w:p>
    <w:p w:rsidR="00D46DC4" w:rsidRDefault="00D46DC4" w:rsidP="00BB1A5E">
      <w:pPr>
        <w:spacing w:after="0" w:line="240" w:lineRule="auto"/>
        <w:contextualSpacing/>
        <w:jc w:val="both"/>
      </w:pPr>
    </w:p>
    <w:p w:rsidR="00D46DC4" w:rsidRPr="00C95F78" w:rsidRDefault="00D46DC4" w:rsidP="00621010">
      <w:pPr>
        <w:pStyle w:val="Caption"/>
        <w:contextualSpacing/>
        <w:jc w:val="center"/>
        <w:rPr>
          <w:sz w:val="28"/>
          <w:szCs w:val="28"/>
        </w:rPr>
      </w:pPr>
      <w:bookmarkStart w:id="127" w:name="_Toc26367172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70</w:t>
      </w:r>
      <w:r w:rsidR="00D50FDC" w:rsidRPr="00C95F78">
        <w:rPr>
          <w:sz w:val="28"/>
          <w:szCs w:val="28"/>
        </w:rPr>
        <w:fldChar w:fldCharType="end"/>
      </w:r>
      <w:r w:rsidRPr="00C95F78">
        <w:rPr>
          <w:sz w:val="28"/>
          <w:szCs w:val="28"/>
        </w:rPr>
        <w:t xml:space="preserve">: </w:t>
      </w:r>
      <w:r>
        <w:rPr>
          <w:sz w:val="28"/>
          <w:szCs w:val="28"/>
        </w:rPr>
        <w:t>The Concentrating Solar Power Market</w:t>
      </w:r>
      <w:bookmarkEnd w:id="127"/>
    </w:p>
    <w:p w:rsidR="00D46DC4" w:rsidRDefault="00D46DC4" w:rsidP="00BB1A5E">
      <w:pPr>
        <w:spacing w:after="0" w:line="240" w:lineRule="auto"/>
        <w:contextualSpacing/>
        <w:jc w:val="both"/>
      </w:pPr>
      <w:r w:rsidRPr="00D46DC4">
        <w:rPr>
          <w:noProof/>
          <w:lang w:val="en-US"/>
        </w:rPr>
        <w:drawing>
          <wp:inline distT="0" distB="0" distL="0" distR="0">
            <wp:extent cx="5831840" cy="2795189"/>
            <wp:effectExtent l="1905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5831840" cy="2795189"/>
                    </a:xfrm>
                    <a:prstGeom prst="rect">
                      <a:avLst/>
                    </a:prstGeom>
                    <a:noFill/>
                    <a:ln w="9525">
                      <a:noFill/>
                      <a:miter lim="800000"/>
                      <a:headEnd/>
                      <a:tailEnd/>
                    </a:ln>
                  </pic:spPr>
                </pic:pic>
              </a:graphicData>
            </a:graphic>
          </wp:inline>
        </w:drawing>
      </w:r>
    </w:p>
    <w:p w:rsidR="00D46DC4" w:rsidRDefault="00D46DC4" w:rsidP="00BB1A5E">
      <w:pPr>
        <w:spacing w:after="0" w:line="240" w:lineRule="auto"/>
        <w:contextualSpacing/>
        <w:jc w:val="both"/>
      </w:pPr>
    </w:p>
    <w:p w:rsidR="00A55203" w:rsidRPr="00EF3CDB" w:rsidRDefault="00EF3CDB"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28" w:name="_Toc263688595"/>
      <w:r w:rsidRPr="00EF3CDB">
        <w:rPr>
          <w:rFonts w:asciiTheme="minorHAnsi" w:hAnsiTheme="minorHAnsi"/>
          <w:color w:val="365F91" w:themeColor="accent1" w:themeShade="BF"/>
          <w:sz w:val="26"/>
          <w:szCs w:val="26"/>
        </w:rPr>
        <w:t>Marine Energy Generation</w:t>
      </w:r>
      <w:bookmarkEnd w:id="128"/>
    </w:p>
    <w:p w:rsidR="00EF3CDB" w:rsidRPr="00EF3CDB" w:rsidRDefault="00EF3CDB" w:rsidP="00BB1A5E">
      <w:pPr>
        <w:spacing w:after="0" w:line="240" w:lineRule="auto"/>
        <w:contextualSpacing/>
        <w:jc w:val="both"/>
      </w:pPr>
    </w:p>
    <w:p w:rsidR="00EF3CDB" w:rsidRPr="00EF3CDB" w:rsidRDefault="00EF3CDB" w:rsidP="00BB1A5E">
      <w:pPr>
        <w:spacing w:after="0" w:line="240" w:lineRule="auto"/>
        <w:contextualSpacing/>
        <w:jc w:val="both"/>
        <w:rPr>
          <w:b/>
          <w:color w:val="365F91" w:themeColor="accent1" w:themeShade="BF"/>
          <w:sz w:val="24"/>
          <w:szCs w:val="24"/>
        </w:rPr>
      </w:pPr>
      <w:r>
        <w:rPr>
          <w:b/>
          <w:color w:val="365F91" w:themeColor="accent1" w:themeShade="BF"/>
          <w:sz w:val="24"/>
          <w:szCs w:val="24"/>
        </w:rPr>
        <w:t>Sector Background</w:t>
      </w:r>
    </w:p>
    <w:p w:rsidR="00EF3CDB" w:rsidRDefault="00EF3CDB" w:rsidP="00BB1A5E">
      <w:pPr>
        <w:spacing w:after="0" w:line="240" w:lineRule="auto"/>
        <w:contextualSpacing/>
        <w:jc w:val="both"/>
      </w:pPr>
    </w:p>
    <w:p w:rsidR="00AC6A97" w:rsidRDefault="00AC6A97" w:rsidP="00BB1A5E">
      <w:pPr>
        <w:autoSpaceDE w:val="0"/>
        <w:autoSpaceDN w:val="0"/>
        <w:adjustRightInd w:val="0"/>
        <w:spacing w:after="0" w:line="240" w:lineRule="auto"/>
        <w:jc w:val="both"/>
      </w:pPr>
      <w:r>
        <w:t>The largest natural energy resource of all is found in the oceans. To date, we have not learned to tap this resource</w:t>
      </w:r>
      <w:r w:rsidR="00BD4AA6">
        <w:t xml:space="preserve">. </w:t>
      </w:r>
      <w:r>
        <w:t>Most technologies are at the design stage, and the projects that are supposed to be commercial have met with limited success.</w:t>
      </w:r>
    </w:p>
    <w:p w:rsidR="00AC6A97" w:rsidRDefault="00AC6A97" w:rsidP="00BB1A5E">
      <w:pPr>
        <w:autoSpaceDE w:val="0"/>
        <w:autoSpaceDN w:val="0"/>
        <w:adjustRightInd w:val="0"/>
        <w:spacing w:after="0" w:line="240" w:lineRule="auto"/>
        <w:jc w:val="both"/>
      </w:pPr>
    </w:p>
    <w:p w:rsidR="00AC6A97" w:rsidRDefault="00AC6A97" w:rsidP="00BB1A5E">
      <w:pPr>
        <w:autoSpaceDE w:val="0"/>
        <w:autoSpaceDN w:val="0"/>
        <w:adjustRightInd w:val="0"/>
        <w:spacing w:after="0" w:line="240" w:lineRule="auto"/>
        <w:jc w:val="both"/>
      </w:pPr>
      <w:r>
        <w:t xml:space="preserve">Yet, in the future, ocean power technologies will almost certainly become very important. They fall into two </w:t>
      </w:r>
      <w:r w:rsidR="00EA21DE">
        <w:t xml:space="preserve">main </w:t>
      </w:r>
      <w:r>
        <w:t xml:space="preserve">types, those tapping wave energy, and those utilising the tidal range. </w:t>
      </w:r>
      <w:r w:rsidR="00EA21DE">
        <w:t xml:space="preserve">Other technologies require the exploitation of thermal and temperature gradients in the ocean. </w:t>
      </w:r>
      <w:r>
        <w:t>I</w:t>
      </w:r>
      <w:r w:rsidR="00EA21DE">
        <w:t>t is possible that marine power</w:t>
      </w:r>
      <w:r>
        <w:t xml:space="preserve"> will start to provide a market by 2020, but the real potential is later than this.</w:t>
      </w:r>
    </w:p>
    <w:p w:rsidR="00AC6A97" w:rsidRDefault="00AC6A97" w:rsidP="00BB1A5E">
      <w:pPr>
        <w:autoSpaceDE w:val="0"/>
        <w:autoSpaceDN w:val="0"/>
        <w:adjustRightInd w:val="0"/>
        <w:spacing w:after="0" w:line="240" w:lineRule="auto"/>
        <w:jc w:val="both"/>
      </w:pPr>
    </w:p>
    <w:p w:rsidR="00EF3CDB" w:rsidRPr="00EF3CDB" w:rsidRDefault="00EF3CDB" w:rsidP="00BB1A5E">
      <w:pPr>
        <w:spacing w:after="0" w:line="240" w:lineRule="auto"/>
        <w:contextualSpacing/>
        <w:jc w:val="both"/>
        <w:rPr>
          <w:b/>
          <w:color w:val="365F91" w:themeColor="accent1" w:themeShade="BF"/>
          <w:sz w:val="24"/>
          <w:szCs w:val="24"/>
        </w:rPr>
      </w:pPr>
      <w:r>
        <w:rPr>
          <w:b/>
          <w:color w:val="365F91" w:themeColor="accent1" w:themeShade="BF"/>
          <w:sz w:val="24"/>
          <w:szCs w:val="24"/>
        </w:rPr>
        <w:t>Alternative Technical and Market Solutions</w:t>
      </w:r>
    </w:p>
    <w:p w:rsidR="00EF3CDB" w:rsidRDefault="00EF3CDB" w:rsidP="00BB1A5E">
      <w:pPr>
        <w:spacing w:after="0" w:line="240" w:lineRule="auto"/>
        <w:contextualSpacing/>
        <w:jc w:val="both"/>
      </w:pPr>
    </w:p>
    <w:p w:rsidR="00A55203" w:rsidRPr="00C95F78" w:rsidRDefault="00AC6A97" w:rsidP="00BB1A5E">
      <w:pPr>
        <w:autoSpaceDE w:val="0"/>
        <w:autoSpaceDN w:val="0"/>
        <w:adjustRightInd w:val="0"/>
        <w:spacing w:after="0" w:line="240" w:lineRule="auto"/>
        <w:jc w:val="both"/>
      </w:pPr>
      <w:r>
        <w:rPr>
          <w:b/>
        </w:rPr>
        <w:t>Wave P</w:t>
      </w:r>
      <w:r w:rsidR="00A55203" w:rsidRPr="00C95F78">
        <w:rPr>
          <w:b/>
        </w:rPr>
        <w:t>ower</w:t>
      </w:r>
      <w:r>
        <w:rPr>
          <w:b/>
        </w:rPr>
        <w:t xml:space="preserve">: </w:t>
      </w:r>
      <w:r w:rsidRPr="00AC6A97">
        <w:t>This technology involves</w:t>
      </w:r>
      <w:r w:rsidR="00A55203" w:rsidRPr="00C95F78">
        <w:t xml:space="preserve"> the capture of the energy of ocean surface waves to generate electricity. The world's first commercial </w:t>
      </w:r>
      <w:hyperlink r:id="rId97" w:tooltip="Wave farm" w:history="1">
        <w:r w:rsidR="00A55203" w:rsidRPr="00C95F78">
          <w:t>wave farm</w:t>
        </w:r>
      </w:hyperlink>
      <w:r w:rsidR="00A55203" w:rsidRPr="00C95F78">
        <w:t xml:space="preserve"> is based in Portugal, at the </w:t>
      </w:r>
      <w:hyperlink r:id="rId98" w:tooltip="Aguçadoura Wave Park" w:history="1">
        <w:r w:rsidR="00A55203" w:rsidRPr="00C95F78">
          <w:t>Aguçadoura Wave Park</w:t>
        </w:r>
      </w:hyperlink>
      <w:r w:rsidR="00A55203" w:rsidRPr="00C95F78">
        <w:t>, which consists of three 750</w:t>
      </w:r>
      <w:r>
        <w:t xml:space="preserve"> kW </w:t>
      </w:r>
      <w:hyperlink r:id="rId99" w:tooltip="Pelamis wave energy converter" w:history="1">
        <w:r w:rsidR="00A55203" w:rsidRPr="00C95F78">
          <w:t>Pelamis</w:t>
        </w:r>
      </w:hyperlink>
      <w:r w:rsidR="00A55203" w:rsidRPr="00C95F78">
        <w:t xml:space="preserve"> devices. </w:t>
      </w:r>
      <w:r>
        <w:t>It</w:t>
      </w:r>
      <w:r w:rsidR="00A55203" w:rsidRPr="00C95F78">
        <w:t xml:space="preserve"> became operational in 2008. </w:t>
      </w:r>
    </w:p>
    <w:p w:rsidR="00A55203" w:rsidRPr="00C95F78" w:rsidRDefault="00A55203" w:rsidP="00BB1A5E">
      <w:pPr>
        <w:autoSpaceDE w:val="0"/>
        <w:autoSpaceDN w:val="0"/>
        <w:adjustRightInd w:val="0"/>
        <w:spacing w:after="0" w:line="240" w:lineRule="auto"/>
        <w:jc w:val="both"/>
      </w:pPr>
    </w:p>
    <w:p w:rsidR="00A55203" w:rsidRPr="00C95F78" w:rsidRDefault="00A55203" w:rsidP="00BB1A5E">
      <w:pPr>
        <w:autoSpaceDE w:val="0"/>
        <w:autoSpaceDN w:val="0"/>
        <w:adjustRightInd w:val="0"/>
        <w:spacing w:after="0" w:line="240" w:lineRule="auto"/>
        <w:jc w:val="both"/>
      </w:pPr>
      <w:r w:rsidRPr="00C95F78">
        <w:t xml:space="preserve">The European Marine Energy Centre (EMEC) has enumerated approximately 100 wave energy concepts, with many of them still at the R&amp;D stage. </w:t>
      </w:r>
      <w:r w:rsidR="00AC6A97">
        <w:t>There are three main technologies, however, which are described briefly below.</w:t>
      </w:r>
      <w:r w:rsidRPr="00C95F78">
        <w:t xml:space="preserve"> </w:t>
      </w:r>
    </w:p>
    <w:p w:rsidR="00A55203" w:rsidRPr="00C95F78" w:rsidRDefault="00A55203" w:rsidP="00BB1A5E">
      <w:pPr>
        <w:autoSpaceDE w:val="0"/>
        <w:autoSpaceDN w:val="0"/>
        <w:adjustRightInd w:val="0"/>
        <w:spacing w:after="0" w:line="240" w:lineRule="auto"/>
        <w:jc w:val="both"/>
      </w:pPr>
    </w:p>
    <w:p w:rsidR="00A55203" w:rsidRPr="00C95F78" w:rsidRDefault="00BD28E1" w:rsidP="00BB1A5E">
      <w:pPr>
        <w:autoSpaceDE w:val="0"/>
        <w:autoSpaceDN w:val="0"/>
        <w:adjustRightInd w:val="0"/>
        <w:spacing w:after="0" w:line="240" w:lineRule="auto"/>
        <w:jc w:val="both"/>
      </w:pPr>
      <w:r>
        <w:t>Oscillating Water C</w:t>
      </w:r>
      <w:r w:rsidR="00A55203" w:rsidRPr="00C95F78">
        <w:t>olumn (OWC</w:t>
      </w:r>
      <w:r>
        <w:t>)</w:t>
      </w:r>
      <w:r w:rsidR="00A55203" w:rsidRPr="00C95F78">
        <w:t xml:space="preserve"> is the oldest and </w:t>
      </w:r>
      <w:r>
        <w:t xml:space="preserve">to date </w:t>
      </w:r>
      <w:r w:rsidR="00A55203" w:rsidRPr="00C95F78">
        <w:t>most successful of the technologies. It comprises a partly submerged structure that is open to the sea below the water surface so that it contains a column of water. Air is trapped above the surface of the water column</w:t>
      </w:r>
      <w:r>
        <w:t>. A</w:t>
      </w:r>
      <w:r w:rsidR="00A55203" w:rsidRPr="00C95F78">
        <w:t>s wa</w:t>
      </w:r>
      <w:r>
        <w:t>ves enter and exit</w:t>
      </w:r>
      <w:r w:rsidR="00A55203" w:rsidRPr="00C95F78">
        <w:t>, the water column moves up and down</w:t>
      </w:r>
      <w:r>
        <w:t>,</w:t>
      </w:r>
      <w:r w:rsidR="00A55203" w:rsidRPr="00C95F78">
        <w:t xml:space="preserve"> </w:t>
      </w:r>
      <w:r>
        <w:t>acting like a piston pushing the air</w:t>
      </w:r>
      <w:r w:rsidR="00A55203" w:rsidRPr="00C95F78">
        <w:t xml:space="preserve"> back and forth. The air is channelled through a turbine coupled to a generator</w:t>
      </w:r>
      <w:r>
        <w:t>,</w:t>
      </w:r>
      <w:r w:rsidR="00A55203" w:rsidRPr="00C95F78">
        <w:t xml:space="preserve"> and so produces electricity.</w:t>
      </w:r>
    </w:p>
    <w:p w:rsidR="00A55203" w:rsidRDefault="00A55203" w:rsidP="00BB1A5E">
      <w:pPr>
        <w:pStyle w:val="ListParagraph"/>
        <w:autoSpaceDE w:val="0"/>
        <w:autoSpaceDN w:val="0"/>
        <w:adjustRightInd w:val="0"/>
        <w:spacing w:after="0" w:line="240" w:lineRule="auto"/>
        <w:jc w:val="both"/>
      </w:pPr>
    </w:p>
    <w:p w:rsidR="00BD28E1" w:rsidRPr="00C95F78" w:rsidRDefault="00BD28E1" w:rsidP="00BB1A5E">
      <w:pPr>
        <w:pStyle w:val="ListParagraph"/>
        <w:autoSpaceDE w:val="0"/>
        <w:autoSpaceDN w:val="0"/>
        <w:adjustRightInd w:val="0"/>
        <w:spacing w:after="0" w:line="240" w:lineRule="auto"/>
        <w:jc w:val="both"/>
      </w:pPr>
    </w:p>
    <w:p w:rsidR="00A55203" w:rsidRPr="007A1D02" w:rsidRDefault="00A55203" w:rsidP="00621010">
      <w:pPr>
        <w:pStyle w:val="Caption"/>
        <w:contextualSpacing/>
        <w:jc w:val="center"/>
        <w:rPr>
          <w:sz w:val="28"/>
          <w:szCs w:val="28"/>
        </w:rPr>
      </w:pPr>
      <w:bookmarkStart w:id="129" w:name="_Toc263671725"/>
      <w:r w:rsidRPr="007A1D02">
        <w:rPr>
          <w:sz w:val="28"/>
          <w:szCs w:val="28"/>
        </w:rPr>
        <w:t xml:space="preserve">Figure </w:t>
      </w:r>
      <w:r w:rsidR="00D50FDC" w:rsidRPr="007A1D02">
        <w:rPr>
          <w:sz w:val="28"/>
          <w:szCs w:val="28"/>
        </w:rPr>
        <w:fldChar w:fldCharType="begin"/>
      </w:r>
      <w:r w:rsidRPr="007A1D02">
        <w:rPr>
          <w:sz w:val="28"/>
          <w:szCs w:val="28"/>
        </w:rPr>
        <w:instrText xml:space="preserve"> SEQ Figure \* ARABIC </w:instrText>
      </w:r>
      <w:r w:rsidR="00D50FDC" w:rsidRPr="007A1D02">
        <w:rPr>
          <w:sz w:val="28"/>
          <w:szCs w:val="28"/>
        </w:rPr>
        <w:fldChar w:fldCharType="separate"/>
      </w:r>
      <w:r w:rsidR="0005759A">
        <w:rPr>
          <w:noProof/>
          <w:sz w:val="28"/>
          <w:szCs w:val="28"/>
        </w:rPr>
        <w:t>71</w:t>
      </w:r>
      <w:r w:rsidR="00D50FDC" w:rsidRPr="007A1D02">
        <w:rPr>
          <w:sz w:val="28"/>
          <w:szCs w:val="28"/>
        </w:rPr>
        <w:fldChar w:fldCharType="end"/>
      </w:r>
      <w:r w:rsidR="00AC6A97">
        <w:rPr>
          <w:sz w:val="28"/>
          <w:szCs w:val="28"/>
        </w:rPr>
        <w:t>: Oscillating Water C</w:t>
      </w:r>
      <w:r w:rsidRPr="007A1D02">
        <w:rPr>
          <w:sz w:val="28"/>
          <w:szCs w:val="28"/>
        </w:rPr>
        <w:t>olumn</w:t>
      </w:r>
      <w:r w:rsidR="00AC6A97">
        <w:rPr>
          <w:sz w:val="28"/>
          <w:szCs w:val="28"/>
        </w:rPr>
        <w:t xml:space="preserve"> Generator</w:t>
      </w:r>
      <w:bookmarkEnd w:id="129"/>
    </w:p>
    <w:p w:rsidR="00A55203" w:rsidRPr="00C95F78" w:rsidRDefault="00A55203" w:rsidP="00621010">
      <w:pPr>
        <w:autoSpaceDE w:val="0"/>
        <w:autoSpaceDN w:val="0"/>
        <w:adjustRightInd w:val="0"/>
        <w:spacing w:after="0" w:line="240" w:lineRule="auto"/>
        <w:jc w:val="center"/>
      </w:pPr>
      <w:r w:rsidRPr="00C95F78">
        <w:rPr>
          <w:noProof/>
          <w:lang w:val="en-US"/>
        </w:rPr>
        <w:drawing>
          <wp:inline distT="0" distB="0" distL="0" distR="0">
            <wp:extent cx="5725160" cy="1938020"/>
            <wp:effectExtent l="19050" t="0" r="889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5725160" cy="1938020"/>
                    </a:xfrm>
                    <a:prstGeom prst="rect">
                      <a:avLst/>
                    </a:prstGeom>
                    <a:noFill/>
                    <a:ln w="9525">
                      <a:noFill/>
                      <a:miter lim="800000"/>
                      <a:headEnd/>
                      <a:tailEnd/>
                    </a:ln>
                  </pic:spPr>
                </pic:pic>
              </a:graphicData>
            </a:graphic>
          </wp:inline>
        </w:drawing>
      </w:r>
    </w:p>
    <w:p w:rsidR="00A55203" w:rsidRDefault="00A55203" w:rsidP="00BB1A5E">
      <w:pPr>
        <w:autoSpaceDE w:val="0"/>
        <w:autoSpaceDN w:val="0"/>
        <w:adjustRightInd w:val="0"/>
        <w:spacing w:after="0" w:line="240" w:lineRule="auto"/>
        <w:jc w:val="both"/>
      </w:pPr>
    </w:p>
    <w:p w:rsidR="00BD28E1" w:rsidRPr="00C95F78" w:rsidRDefault="00BD28E1" w:rsidP="00BB1A5E">
      <w:pPr>
        <w:autoSpaceDE w:val="0"/>
        <w:autoSpaceDN w:val="0"/>
        <w:adjustRightInd w:val="0"/>
        <w:spacing w:after="0" w:line="240" w:lineRule="auto"/>
        <w:jc w:val="both"/>
      </w:pPr>
    </w:p>
    <w:p w:rsidR="00A55203" w:rsidRPr="00C95F78" w:rsidRDefault="00BD28E1" w:rsidP="00BB1A5E">
      <w:pPr>
        <w:autoSpaceDE w:val="0"/>
        <w:autoSpaceDN w:val="0"/>
        <w:adjustRightInd w:val="0"/>
        <w:spacing w:after="0" w:line="240" w:lineRule="auto"/>
        <w:jc w:val="both"/>
      </w:pPr>
      <w:r>
        <w:t>Wave Collection S</w:t>
      </w:r>
      <w:r w:rsidR="00A55203" w:rsidRPr="00C95F78">
        <w:t>ystems</w:t>
      </w:r>
      <w:r>
        <w:t xml:space="preserve"> rely</w:t>
      </w:r>
      <w:r w:rsidR="00A55203" w:rsidRPr="00C95F78">
        <w:t xml:space="preserve"> on replacing ocean breaks or sea walls with wave collection systems. By creating a series of layered “reservoirs” up a carefully calculated slope, </w:t>
      </w:r>
      <w:r>
        <w:t xml:space="preserve">they </w:t>
      </w:r>
      <w:r w:rsidR="00A55203" w:rsidRPr="00C95F78">
        <w:t>trap water from waves</w:t>
      </w:r>
      <w:r>
        <w:t>,</w:t>
      </w:r>
      <w:r w:rsidR="00A55203" w:rsidRPr="00C95F78">
        <w:t xml:space="preserve"> </w:t>
      </w:r>
      <w:r>
        <w:t>releasing it through a turbine and thereby generating electricity.</w:t>
      </w:r>
      <w:r w:rsidR="00A55203" w:rsidRPr="00C95F78">
        <w:t xml:space="preserve"> </w:t>
      </w:r>
      <w:r>
        <w:t>It is estimated that a 500 metre breakwater should have 150 kW</w:t>
      </w:r>
      <w:r w:rsidR="00A55203" w:rsidRPr="00C95F78">
        <w:t xml:space="preserve"> capacity.</w:t>
      </w:r>
    </w:p>
    <w:p w:rsidR="00A55203" w:rsidRPr="00C95F78" w:rsidRDefault="00A55203" w:rsidP="00BB1A5E">
      <w:pPr>
        <w:autoSpaceDE w:val="0"/>
        <w:autoSpaceDN w:val="0"/>
        <w:adjustRightInd w:val="0"/>
        <w:spacing w:after="0" w:line="240" w:lineRule="auto"/>
        <w:jc w:val="both"/>
      </w:pPr>
    </w:p>
    <w:p w:rsidR="00BD28E1" w:rsidRDefault="00BD28E1" w:rsidP="00BB1A5E">
      <w:pPr>
        <w:autoSpaceDE w:val="0"/>
        <w:autoSpaceDN w:val="0"/>
        <w:adjustRightInd w:val="0"/>
        <w:spacing w:after="0" w:line="240" w:lineRule="auto"/>
        <w:jc w:val="both"/>
      </w:pPr>
      <w:r>
        <w:t>Marine Buoy Systems convert th</w:t>
      </w:r>
      <w:r w:rsidR="00A55203" w:rsidRPr="00C95F78">
        <w:t>e vertical motion of a marine buoy</w:t>
      </w:r>
      <w:r>
        <w:t xml:space="preserve"> into an electrical charge. The charge</w:t>
      </w:r>
      <w:r w:rsidR="00A55203" w:rsidRPr="00C95F78">
        <w:t xml:space="preserve"> is </w:t>
      </w:r>
      <w:r>
        <w:t xml:space="preserve">converted to DC electricity, which is collected and transported to shore. </w:t>
      </w:r>
      <w:r w:rsidR="00A55203" w:rsidRPr="00C95F78">
        <w:t xml:space="preserve">It is estimated that a 10 MW station would occupy one and a half hectares of </w:t>
      </w:r>
      <w:r>
        <w:t>sea area, and that a 15 hectare 100 MW station c</w:t>
      </w:r>
      <w:r w:rsidR="00A55203" w:rsidRPr="00C95F78">
        <w:t xml:space="preserve">ould be cost-competitive with energy produced from fossil fuels. </w:t>
      </w:r>
    </w:p>
    <w:p w:rsidR="00BD28E1" w:rsidRDefault="00BD28E1" w:rsidP="00BB1A5E">
      <w:pPr>
        <w:autoSpaceDE w:val="0"/>
        <w:autoSpaceDN w:val="0"/>
        <w:adjustRightInd w:val="0"/>
        <w:spacing w:after="0" w:line="240" w:lineRule="auto"/>
        <w:jc w:val="both"/>
      </w:pPr>
    </w:p>
    <w:p w:rsidR="00A55203" w:rsidRDefault="00BD28E1" w:rsidP="00BB1A5E">
      <w:pPr>
        <w:autoSpaceDE w:val="0"/>
        <w:autoSpaceDN w:val="0"/>
        <w:adjustRightInd w:val="0"/>
        <w:spacing w:after="0" w:line="240" w:lineRule="auto"/>
        <w:jc w:val="both"/>
      </w:pPr>
      <w:r>
        <w:t>The Pelamis Wave Power Generator, now p</w:t>
      </w:r>
      <w:r w:rsidR="00D8636F">
        <w:t>laced off Portugal, is a variant of the Marine Buoy System. T</w:t>
      </w:r>
      <w:r w:rsidR="00A55203" w:rsidRPr="00C95F78">
        <w:t>he name Pelamis comes from a sea-snake. This system comprises a number of large semi-submerged tubular metal sections. The movement of waves makes these sections ripple or bend, rather like a snake. This bending action forces hydraulic pistons</w:t>
      </w:r>
      <w:r w:rsidR="00D8636F">
        <w:t>,</w:t>
      </w:r>
      <w:r w:rsidR="00A55203" w:rsidRPr="00C95F78">
        <w:t xml:space="preserve"> causing fluid to flow inside. This movement is then converted into energy. </w:t>
      </w:r>
    </w:p>
    <w:p w:rsidR="00D8636F" w:rsidRPr="00C95F78" w:rsidRDefault="00D8636F" w:rsidP="00BB1A5E">
      <w:pPr>
        <w:autoSpaceDE w:val="0"/>
        <w:autoSpaceDN w:val="0"/>
        <w:adjustRightInd w:val="0"/>
        <w:spacing w:after="0" w:line="240" w:lineRule="auto"/>
        <w:jc w:val="both"/>
      </w:pPr>
    </w:p>
    <w:p w:rsidR="00A55203" w:rsidRPr="00C95F78" w:rsidRDefault="00A55203" w:rsidP="00BB1A5E">
      <w:pPr>
        <w:autoSpaceDE w:val="0"/>
        <w:autoSpaceDN w:val="0"/>
        <w:adjustRightInd w:val="0"/>
        <w:spacing w:after="0" w:line="240" w:lineRule="auto"/>
        <w:jc w:val="both"/>
      </w:pPr>
    </w:p>
    <w:p w:rsidR="00A55203" w:rsidRPr="007A1D02" w:rsidRDefault="00A55203" w:rsidP="00621010">
      <w:pPr>
        <w:pStyle w:val="Caption"/>
        <w:contextualSpacing/>
        <w:jc w:val="center"/>
        <w:rPr>
          <w:sz w:val="28"/>
          <w:szCs w:val="28"/>
        </w:rPr>
      </w:pPr>
      <w:bookmarkStart w:id="130" w:name="_Toc263671726"/>
      <w:r w:rsidRPr="007A1D02">
        <w:rPr>
          <w:sz w:val="28"/>
          <w:szCs w:val="28"/>
        </w:rPr>
        <w:t xml:space="preserve">Figure </w:t>
      </w:r>
      <w:r w:rsidR="00D50FDC" w:rsidRPr="007A1D02">
        <w:rPr>
          <w:sz w:val="28"/>
          <w:szCs w:val="28"/>
        </w:rPr>
        <w:fldChar w:fldCharType="begin"/>
      </w:r>
      <w:r w:rsidRPr="007A1D02">
        <w:rPr>
          <w:sz w:val="28"/>
          <w:szCs w:val="28"/>
        </w:rPr>
        <w:instrText xml:space="preserve"> SEQ Figure \* ARABIC </w:instrText>
      </w:r>
      <w:r w:rsidR="00D50FDC" w:rsidRPr="007A1D02">
        <w:rPr>
          <w:sz w:val="28"/>
          <w:szCs w:val="28"/>
        </w:rPr>
        <w:fldChar w:fldCharType="separate"/>
      </w:r>
      <w:r w:rsidR="0005759A">
        <w:rPr>
          <w:noProof/>
          <w:sz w:val="28"/>
          <w:szCs w:val="28"/>
        </w:rPr>
        <w:t>72</w:t>
      </w:r>
      <w:r w:rsidR="00D50FDC" w:rsidRPr="007A1D02">
        <w:rPr>
          <w:sz w:val="28"/>
          <w:szCs w:val="28"/>
        </w:rPr>
        <w:fldChar w:fldCharType="end"/>
      </w:r>
      <w:r w:rsidR="00AC6A97">
        <w:rPr>
          <w:sz w:val="28"/>
          <w:szCs w:val="28"/>
        </w:rPr>
        <w:t>: Pelamis Wave Power G</w:t>
      </w:r>
      <w:r w:rsidRPr="007A1D02">
        <w:rPr>
          <w:sz w:val="28"/>
          <w:szCs w:val="28"/>
        </w:rPr>
        <w:t>enerator</w:t>
      </w:r>
      <w:bookmarkEnd w:id="130"/>
    </w:p>
    <w:p w:rsidR="00A55203" w:rsidRPr="00C95F78" w:rsidRDefault="00A55203" w:rsidP="00621010">
      <w:pPr>
        <w:autoSpaceDE w:val="0"/>
        <w:autoSpaceDN w:val="0"/>
        <w:adjustRightInd w:val="0"/>
        <w:spacing w:after="0" w:line="240" w:lineRule="auto"/>
        <w:jc w:val="center"/>
      </w:pPr>
      <w:r w:rsidRPr="00C95F78">
        <w:rPr>
          <w:noProof/>
          <w:lang w:val="en-US"/>
        </w:rPr>
        <w:drawing>
          <wp:inline distT="0" distB="0" distL="0" distR="0">
            <wp:extent cx="4199206" cy="3489524"/>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4199206" cy="3489524"/>
                    </a:xfrm>
                    <a:prstGeom prst="rect">
                      <a:avLst/>
                    </a:prstGeom>
                    <a:noFill/>
                    <a:ln w="9525">
                      <a:noFill/>
                      <a:miter lim="800000"/>
                      <a:headEnd/>
                      <a:tailEnd/>
                    </a:ln>
                  </pic:spPr>
                </pic:pic>
              </a:graphicData>
            </a:graphic>
          </wp:inline>
        </w:drawing>
      </w:r>
    </w:p>
    <w:p w:rsidR="00A55203" w:rsidRPr="00C95F78" w:rsidRDefault="00A55203" w:rsidP="00BB1A5E">
      <w:pPr>
        <w:autoSpaceDE w:val="0"/>
        <w:autoSpaceDN w:val="0"/>
        <w:adjustRightInd w:val="0"/>
        <w:spacing w:after="0" w:line="240" w:lineRule="auto"/>
        <w:jc w:val="both"/>
      </w:pPr>
    </w:p>
    <w:p w:rsidR="00A55203" w:rsidRPr="00C95F78" w:rsidRDefault="00A55203" w:rsidP="00BB1A5E">
      <w:pPr>
        <w:autoSpaceDE w:val="0"/>
        <w:autoSpaceDN w:val="0"/>
        <w:adjustRightInd w:val="0"/>
        <w:spacing w:after="0" w:line="240" w:lineRule="auto"/>
        <w:jc w:val="both"/>
      </w:pPr>
    </w:p>
    <w:p w:rsidR="00D8636F" w:rsidRDefault="00D8636F" w:rsidP="00BB1A5E">
      <w:pPr>
        <w:autoSpaceDE w:val="0"/>
        <w:autoSpaceDN w:val="0"/>
        <w:adjustRightInd w:val="0"/>
        <w:spacing w:after="0" w:line="240" w:lineRule="auto"/>
        <w:jc w:val="both"/>
        <w:rPr>
          <w:b/>
        </w:rPr>
      </w:pPr>
    </w:p>
    <w:p w:rsidR="00A55203" w:rsidRPr="00C95F78" w:rsidRDefault="00D8636F" w:rsidP="00BB1A5E">
      <w:pPr>
        <w:autoSpaceDE w:val="0"/>
        <w:autoSpaceDN w:val="0"/>
        <w:adjustRightInd w:val="0"/>
        <w:spacing w:after="0" w:line="240" w:lineRule="auto"/>
        <w:jc w:val="both"/>
      </w:pPr>
      <w:r>
        <w:rPr>
          <w:b/>
        </w:rPr>
        <w:t>Tidal P</w:t>
      </w:r>
      <w:r w:rsidR="00A55203" w:rsidRPr="00C95F78">
        <w:rPr>
          <w:b/>
        </w:rPr>
        <w:t>ower</w:t>
      </w:r>
      <w:r>
        <w:rPr>
          <w:b/>
        </w:rPr>
        <w:t xml:space="preserve">: </w:t>
      </w:r>
      <w:r w:rsidR="00A55203" w:rsidRPr="00C95F78">
        <w:t xml:space="preserve">Tidal power is a form of </w:t>
      </w:r>
      <w:hyperlink r:id="rId102" w:tooltip="Hydropower" w:history="1">
        <w:r w:rsidR="00A55203" w:rsidRPr="00C95F78">
          <w:t>hydropower</w:t>
        </w:r>
      </w:hyperlink>
      <w:r w:rsidR="00A55203" w:rsidRPr="00C95F78">
        <w:t xml:space="preserve"> that converts the energy of </w:t>
      </w:r>
      <w:hyperlink r:id="rId103" w:tooltip="Tide" w:history="1">
        <w:r w:rsidR="00A55203" w:rsidRPr="00C95F78">
          <w:t>tides</w:t>
        </w:r>
      </w:hyperlink>
      <w:r w:rsidR="00A55203" w:rsidRPr="00C95F78">
        <w:t xml:space="preserve"> into electricity or other useful forms of </w:t>
      </w:r>
      <w:r>
        <w:t>energy</w:t>
      </w:r>
      <w:r w:rsidR="00A55203" w:rsidRPr="00C95F78">
        <w:t>. The first large-scale tidal power plant</w:t>
      </w:r>
      <w:r>
        <w:t xml:space="preserve">, </w:t>
      </w:r>
      <w:r w:rsidR="00A55203" w:rsidRPr="00C95F78">
        <w:t xml:space="preserve">the </w:t>
      </w:r>
      <w:hyperlink r:id="rId104" w:tooltip="Rance Tidal Power Station" w:history="1">
        <w:r w:rsidR="00A55203" w:rsidRPr="00C95F78">
          <w:t>Rance Tidal Power Station</w:t>
        </w:r>
      </w:hyperlink>
      <w:r w:rsidR="00A55203" w:rsidRPr="00C95F78">
        <w:t xml:space="preserve"> in France</w:t>
      </w:r>
      <w:r>
        <w:t>,</w:t>
      </w:r>
      <w:r w:rsidR="00A55203" w:rsidRPr="00C95F78">
        <w:t xml:space="preserve"> started operation in 1966.</w:t>
      </w:r>
    </w:p>
    <w:p w:rsidR="00A55203" w:rsidRPr="00C95F78" w:rsidRDefault="00A55203" w:rsidP="00BB1A5E">
      <w:pPr>
        <w:autoSpaceDE w:val="0"/>
        <w:autoSpaceDN w:val="0"/>
        <w:adjustRightInd w:val="0"/>
        <w:spacing w:after="0" w:line="240" w:lineRule="auto"/>
        <w:jc w:val="both"/>
      </w:pPr>
    </w:p>
    <w:p w:rsidR="00D8636F" w:rsidRDefault="00D8636F" w:rsidP="00BB1A5E">
      <w:pPr>
        <w:autoSpaceDE w:val="0"/>
        <w:autoSpaceDN w:val="0"/>
        <w:adjustRightInd w:val="0"/>
        <w:spacing w:after="0" w:line="240" w:lineRule="auto"/>
        <w:jc w:val="both"/>
      </w:pPr>
      <w:r>
        <w:t>The big advantage of using tides as an energy source is that t</w:t>
      </w:r>
      <w:r w:rsidR="00A55203" w:rsidRPr="00C95F78">
        <w:t xml:space="preserve">ides are more predictable than </w:t>
      </w:r>
      <w:r>
        <w:t xml:space="preserve">the </w:t>
      </w:r>
      <w:hyperlink r:id="rId105" w:tooltip="Wind energy" w:history="1">
        <w:r w:rsidR="00A55203" w:rsidRPr="00C95F78">
          <w:t>wind</w:t>
        </w:r>
        <w:r>
          <w:t xml:space="preserve"> or sun</w:t>
        </w:r>
      </w:hyperlink>
      <w:r>
        <w:t xml:space="preserve">. It has big disadvantages as well. Development of tidal resources is highly expensive, there is a lack of sites with </w:t>
      </w:r>
      <w:r w:rsidRPr="00C95F78">
        <w:t>sufficiently high tidal ranges or flow velocities</w:t>
      </w:r>
      <w:r>
        <w:t>, and there is potential for a great deal of environmental damage.</w:t>
      </w:r>
    </w:p>
    <w:p w:rsidR="00D8636F" w:rsidRDefault="00D8636F" w:rsidP="00BB1A5E">
      <w:pPr>
        <w:autoSpaceDE w:val="0"/>
        <w:autoSpaceDN w:val="0"/>
        <w:adjustRightInd w:val="0"/>
        <w:spacing w:after="0" w:line="240" w:lineRule="auto"/>
        <w:jc w:val="both"/>
      </w:pPr>
    </w:p>
    <w:p w:rsidR="00A55203" w:rsidRPr="00C95F78" w:rsidRDefault="00D8636F" w:rsidP="00BB1A5E">
      <w:pPr>
        <w:autoSpaceDE w:val="0"/>
        <w:autoSpaceDN w:val="0"/>
        <w:adjustRightInd w:val="0"/>
        <w:spacing w:after="0" w:line="240" w:lineRule="auto"/>
        <w:jc w:val="both"/>
      </w:pPr>
      <w:r>
        <w:t xml:space="preserve">Interest in tidal power has increased, as recent technological developments </w:t>
      </w:r>
      <w:r w:rsidR="001028F8">
        <w:t xml:space="preserve">make the economics look much more feasible. The improvements are in </w:t>
      </w:r>
      <w:r w:rsidR="00A55203" w:rsidRPr="00C95F78">
        <w:t xml:space="preserve">design (e.g. </w:t>
      </w:r>
      <w:hyperlink r:id="rId106" w:anchor="Dynamic_tidal_power" w:history="1">
        <w:r w:rsidR="00A55203" w:rsidRPr="00C95F78">
          <w:t>dynamic tidal power</w:t>
        </w:r>
      </w:hyperlink>
      <w:r w:rsidR="00A55203" w:rsidRPr="00C95F78">
        <w:t xml:space="preserve">, </w:t>
      </w:r>
      <w:hyperlink r:id="rId107" w:anchor="Tidal_lagoon_power" w:history="1">
        <w:r w:rsidR="00A55203" w:rsidRPr="00C95F78">
          <w:t>tidal lagoons</w:t>
        </w:r>
      </w:hyperlink>
      <w:r w:rsidR="00A55203" w:rsidRPr="00C95F78">
        <w:t xml:space="preserve">) and turbine technology (e.g. new </w:t>
      </w:r>
      <w:hyperlink r:id="rId108" w:anchor="Axial_Turbines" w:history="1">
        <w:r w:rsidR="00A55203" w:rsidRPr="00C95F78">
          <w:t>axial turbines</w:t>
        </w:r>
      </w:hyperlink>
      <w:r w:rsidR="00A55203" w:rsidRPr="00C95F78">
        <w:t xml:space="preserve">, </w:t>
      </w:r>
      <w:hyperlink r:id="rId109" w:anchor="Vertical_and_horizontal_axis_crossflow_turbines" w:history="1">
        <w:r w:rsidR="00A55203" w:rsidRPr="00C95F78">
          <w:t>cross-flow turbines</w:t>
        </w:r>
      </w:hyperlink>
      <w:r w:rsidR="001028F8">
        <w:t>). These developments make it clear that the number of potential sites for using tidal power generation is much greater than once thought, and that economic and environmental costs are in an acceptable range. We briefly describe the different classes of tidal power system available below.</w:t>
      </w:r>
    </w:p>
    <w:p w:rsidR="00A55203" w:rsidRPr="00C95F78" w:rsidRDefault="003C7AEB" w:rsidP="00BB1A5E">
      <w:pPr>
        <w:autoSpaceDE w:val="0"/>
        <w:autoSpaceDN w:val="0"/>
        <w:adjustRightInd w:val="0"/>
        <w:spacing w:after="0" w:line="240" w:lineRule="auto"/>
        <w:jc w:val="both"/>
      </w:pPr>
      <w:hyperlink r:id="rId110" w:anchor="Tidal_stream_generators" w:history="1">
        <w:r w:rsidR="001028F8">
          <w:t>Tidal Stream S</w:t>
        </w:r>
        <w:r w:rsidR="00A55203" w:rsidRPr="001028F8">
          <w:t>ystems</w:t>
        </w:r>
      </w:hyperlink>
      <w:r w:rsidR="00A55203" w:rsidRPr="001028F8">
        <w:t xml:space="preserve"> </w:t>
      </w:r>
      <w:r w:rsidR="00A55203" w:rsidRPr="00C95F78">
        <w:t xml:space="preserve">make use of the </w:t>
      </w:r>
      <w:hyperlink r:id="rId111" w:tooltip="Kinetic energy" w:history="1">
        <w:r w:rsidR="00A55203" w:rsidRPr="00C95F78">
          <w:t>kinetic energy</w:t>
        </w:r>
      </w:hyperlink>
      <w:r w:rsidR="00A55203" w:rsidRPr="00C95F78">
        <w:t xml:space="preserve"> of moving water to power turbines, in a similar way to windmills that use moving air. The technology works best in where tidal ranges are gr</w:t>
      </w:r>
      <w:r w:rsidR="006B73D7">
        <w:t>eatest, as</w:t>
      </w:r>
      <w:r w:rsidR="00A55203" w:rsidRPr="00C95F78">
        <w:t xml:space="preserve"> </w:t>
      </w:r>
      <w:r w:rsidR="006B73D7">
        <w:t xml:space="preserve">off </w:t>
      </w:r>
      <w:r w:rsidR="00A55203" w:rsidRPr="00C95F78">
        <w:t>Norw</w:t>
      </w:r>
      <w:r w:rsidR="006B73D7">
        <w:t>ay and Great Britain.</w:t>
      </w:r>
      <w:r w:rsidR="00A55203" w:rsidRPr="00C95F78">
        <w:t xml:space="preserve"> This is a dynamic area of research and the techn</w:t>
      </w:r>
      <w:r w:rsidR="006B73D7">
        <w:t>ology is improving all the time.</w:t>
      </w:r>
      <w:r w:rsidR="00A55203" w:rsidRPr="00C95F78">
        <w:t xml:space="preserve"> </w:t>
      </w:r>
      <w:r w:rsidR="006B73D7">
        <w:t>It is estimated that a full-scale Tidal S</w:t>
      </w:r>
      <w:r w:rsidR="00A55203" w:rsidRPr="00C95F78">
        <w:t>tream</w:t>
      </w:r>
      <w:r w:rsidR="006B73D7">
        <w:t xml:space="preserve"> S</w:t>
      </w:r>
      <w:r w:rsidR="00A55203" w:rsidRPr="00C95F78">
        <w:t xml:space="preserve">ystem will be able to produce 1 </w:t>
      </w:r>
      <w:r w:rsidR="006B73D7">
        <w:t xml:space="preserve">MW </w:t>
      </w:r>
      <w:r w:rsidR="00A55203" w:rsidRPr="00C95F78">
        <w:t xml:space="preserve">of electricity at </w:t>
      </w:r>
      <w:r w:rsidR="006B73D7">
        <w:t>Euro 5-8 per kW/hour</w:t>
      </w:r>
      <w:r w:rsidR="00A55203" w:rsidRPr="00C95F78">
        <w:t>.</w:t>
      </w:r>
    </w:p>
    <w:p w:rsidR="00A55203" w:rsidRPr="00C95F78" w:rsidRDefault="00A55203" w:rsidP="00BB1A5E">
      <w:pPr>
        <w:pStyle w:val="ListParagraph"/>
        <w:spacing w:after="0" w:line="240" w:lineRule="auto"/>
        <w:ind w:left="0"/>
        <w:jc w:val="both"/>
      </w:pPr>
    </w:p>
    <w:p w:rsidR="00A55203" w:rsidRPr="00C95F78" w:rsidRDefault="006B73D7" w:rsidP="00BB1A5E">
      <w:pPr>
        <w:autoSpaceDE w:val="0"/>
        <w:autoSpaceDN w:val="0"/>
        <w:adjustRightInd w:val="0"/>
        <w:spacing w:after="0" w:line="240" w:lineRule="auto"/>
        <w:jc w:val="both"/>
      </w:pPr>
      <w:r>
        <w:t xml:space="preserve">Tidal </w:t>
      </w:r>
      <w:hyperlink r:id="rId112" w:anchor="Barrage_tidal_power" w:history="1">
        <w:r w:rsidR="00A55203" w:rsidRPr="006B73D7">
          <w:t>Barrages</w:t>
        </w:r>
      </w:hyperlink>
      <w:r w:rsidR="00A55203" w:rsidRPr="006B73D7">
        <w:t xml:space="preserve"> </w:t>
      </w:r>
      <w:r>
        <w:t xml:space="preserve">are relatively more expensive than Tidal Stream Systems, and are likely to have high environmental impact. They </w:t>
      </w:r>
      <w:r w:rsidR="00A55203" w:rsidRPr="00C95F78">
        <w:t xml:space="preserve">make use of the potential energy </w:t>
      </w:r>
      <w:r>
        <w:t>resulting from the height difference between</w:t>
      </w:r>
      <w:r w:rsidR="00A55203" w:rsidRPr="00C95F78">
        <w:t xml:space="preserve"> high and low tides. A dam with a sluice is constructed spanning a tidal inlet, or a section of a tidal estuary</w:t>
      </w:r>
      <w:r>
        <w:t>,</w:t>
      </w:r>
      <w:r w:rsidR="00A55203" w:rsidRPr="00C95F78">
        <w:t xml:space="preserve"> creating a reservoir. At high tide sea water flows into the reservoir through a on</w:t>
      </w:r>
      <w:r>
        <w:t>e way gate. The gate is closed when</w:t>
      </w:r>
      <w:r w:rsidR="00A55203" w:rsidRPr="00C95F78">
        <w:t xml:space="preserve"> the tide </w:t>
      </w:r>
      <w:r>
        <w:t>is falling. When the low tide point is reached,</w:t>
      </w:r>
      <w:r w:rsidR="00A55203" w:rsidRPr="00C95F78">
        <w:t xml:space="preserve"> the stored water is released </w:t>
      </w:r>
      <w:r>
        <w:t xml:space="preserve">to sea </w:t>
      </w:r>
      <w:r w:rsidR="00A55203" w:rsidRPr="00C95F78">
        <w:t xml:space="preserve">at pressure through turbines. The rotation of these turbines generates electricity. </w:t>
      </w:r>
    </w:p>
    <w:p w:rsidR="00A55203" w:rsidRDefault="00A55203" w:rsidP="00BB1A5E">
      <w:pPr>
        <w:pStyle w:val="ListParagraph"/>
        <w:autoSpaceDE w:val="0"/>
        <w:autoSpaceDN w:val="0"/>
        <w:adjustRightInd w:val="0"/>
        <w:spacing w:after="0" w:line="240" w:lineRule="auto"/>
        <w:ind w:left="0"/>
        <w:jc w:val="both"/>
      </w:pPr>
    </w:p>
    <w:p w:rsidR="00B8002E" w:rsidRDefault="00B8002E" w:rsidP="00BB1A5E">
      <w:pPr>
        <w:pStyle w:val="ListParagraph"/>
        <w:autoSpaceDE w:val="0"/>
        <w:autoSpaceDN w:val="0"/>
        <w:adjustRightInd w:val="0"/>
        <w:spacing w:after="0" w:line="240" w:lineRule="auto"/>
        <w:ind w:left="0"/>
        <w:jc w:val="both"/>
      </w:pPr>
      <w:r>
        <w:t>This is not a well developed technology, but one project alone could leapfrog it into the realm of significant emerging projects. This is the planned Severn Barrage in the UK, intended to provide 5% of the country’s electricity needs. The project has government approval, and is necessary if UK targets on renewable energy sourcing for 2020 are to be met.</w:t>
      </w:r>
    </w:p>
    <w:p w:rsidR="00B8002E" w:rsidRDefault="00B8002E" w:rsidP="00BB1A5E">
      <w:pPr>
        <w:pStyle w:val="ListParagraph"/>
        <w:autoSpaceDE w:val="0"/>
        <w:autoSpaceDN w:val="0"/>
        <w:adjustRightInd w:val="0"/>
        <w:spacing w:after="0" w:line="240" w:lineRule="auto"/>
        <w:ind w:left="0"/>
        <w:jc w:val="both"/>
      </w:pPr>
    </w:p>
    <w:p w:rsidR="00A55203" w:rsidRDefault="00A55203" w:rsidP="00BB1A5E">
      <w:pPr>
        <w:pStyle w:val="ListParagraph"/>
        <w:autoSpaceDE w:val="0"/>
        <w:autoSpaceDN w:val="0"/>
        <w:adjustRightInd w:val="0"/>
        <w:spacing w:after="0" w:line="240" w:lineRule="auto"/>
        <w:ind w:left="0"/>
        <w:jc w:val="both"/>
      </w:pPr>
      <w:r w:rsidRPr="00C95F78">
        <w:t>The plan</w:t>
      </w:r>
      <w:r w:rsidR="00B8002E">
        <w:t xml:space="preserve"> is</w:t>
      </w:r>
      <w:r w:rsidRPr="00C95F78">
        <w:t xml:space="preserve"> to construct the 10-mile long tidal barrage across the Severn Estuary incorporating some 200 turbines</w:t>
      </w:r>
      <w:r w:rsidR="00B8002E">
        <w:t>. The system, if it goes ahead, will work very much like a conventional hydroelectric power plant, falling water being used to drive turbines similar to those used with standard hydroelectric systems. There will</w:t>
      </w:r>
      <w:r w:rsidRPr="00C95F78">
        <w:t xml:space="preserve"> be locks in the barrage to ensure access to the docks upstream</w:t>
      </w:r>
      <w:r w:rsidR="00B8002E">
        <w:t>, and possibly some devices to reduce environmental impact.</w:t>
      </w:r>
    </w:p>
    <w:p w:rsidR="00B8002E" w:rsidRDefault="00B8002E" w:rsidP="00BB1A5E">
      <w:pPr>
        <w:pStyle w:val="ListParagraph"/>
        <w:autoSpaceDE w:val="0"/>
        <w:autoSpaceDN w:val="0"/>
        <w:adjustRightInd w:val="0"/>
        <w:spacing w:after="0" w:line="240" w:lineRule="auto"/>
        <w:ind w:left="0"/>
        <w:jc w:val="both"/>
      </w:pPr>
    </w:p>
    <w:p w:rsidR="00A55203" w:rsidRPr="00C95F78" w:rsidRDefault="00B8002E" w:rsidP="00BB1A5E">
      <w:pPr>
        <w:pStyle w:val="ListParagraph"/>
        <w:autoSpaceDE w:val="0"/>
        <w:autoSpaceDN w:val="0"/>
        <w:adjustRightInd w:val="0"/>
        <w:spacing w:after="0" w:line="240" w:lineRule="auto"/>
        <w:ind w:left="0"/>
        <w:jc w:val="both"/>
      </w:pPr>
      <w:r>
        <w:t>Damage to the environment, however, is likely to be severe.</w:t>
      </w:r>
      <w:r w:rsidR="00EA21DE">
        <w:t xml:space="preserve"> There is fierce opposition to the barrage by</w:t>
      </w:r>
      <w:r w:rsidR="00A55203" w:rsidRPr="00C95F78">
        <w:t xml:space="preserve"> a coalition of 10 groups</w:t>
      </w:r>
      <w:r w:rsidR="00EA21DE">
        <w:t>,</w:t>
      </w:r>
      <w:r w:rsidR="00A55203" w:rsidRPr="00C95F78">
        <w:t xml:space="preserve"> including the National Trust, the RSPB and WWF</w:t>
      </w:r>
      <w:r w:rsidR="00EA21DE">
        <w:t>, but interestingly not including Green Peace.</w:t>
      </w:r>
      <w:r w:rsidR="00A55203" w:rsidRPr="00C95F78">
        <w:t xml:space="preserve"> </w:t>
      </w:r>
    </w:p>
    <w:p w:rsidR="00A55203" w:rsidRPr="00C95F78" w:rsidRDefault="00A55203" w:rsidP="00BB1A5E">
      <w:pPr>
        <w:pStyle w:val="ListParagraph"/>
        <w:autoSpaceDE w:val="0"/>
        <w:autoSpaceDN w:val="0"/>
        <w:adjustRightInd w:val="0"/>
        <w:spacing w:after="0" w:line="240" w:lineRule="auto"/>
        <w:ind w:left="0"/>
        <w:jc w:val="both"/>
      </w:pPr>
    </w:p>
    <w:p w:rsidR="00A55203" w:rsidRPr="00C95F78" w:rsidRDefault="003C7AEB" w:rsidP="00BB1A5E">
      <w:pPr>
        <w:autoSpaceDE w:val="0"/>
        <w:autoSpaceDN w:val="0"/>
        <w:adjustRightInd w:val="0"/>
        <w:spacing w:after="0" w:line="240" w:lineRule="auto"/>
        <w:jc w:val="both"/>
      </w:pPr>
      <w:hyperlink r:id="rId113" w:anchor="Dynamic_tidal_power" w:history="1">
        <w:r w:rsidR="00EA21DE" w:rsidRPr="00EA21DE">
          <w:t>Dynamic Tidal P</w:t>
        </w:r>
        <w:r w:rsidR="00A55203" w:rsidRPr="00EA21DE">
          <w:t>ower</w:t>
        </w:r>
      </w:hyperlink>
      <w:r w:rsidR="00A55203" w:rsidRPr="00C95F78">
        <w:t xml:space="preserve"> </w:t>
      </w:r>
      <w:r w:rsidR="00EA21DE">
        <w:t xml:space="preserve">forms a third tidal power option. It </w:t>
      </w:r>
      <w:r w:rsidR="00A55203" w:rsidRPr="00C95F78">
        <w:t xml:space="preserve">exploits a combination </w:t>
      </w:r>
      <w:r w:rsidR="00EA21DE">
        <w:t xml:space="preserve">of potential and kinetic energy. The technology requires long dams (30-50 km) from the coast straight out to sea. The obstruction of tidal flow and tidal phase differences combine to create </w:t>
      </w:r>
      <w:hyperlink r:id="rId114" w:tooltip="Hydraulic head" w:history="1">
        <w:r w:rsidR="00A55203" w:rsidRPr="00C95F78">
          <w:t>hydraulic head</w:t>
        </w:r>
      </w:hyperlink>
      <w:r w:rsidR="00A55203" w:rsidRPr="00C95F78">
        <w:t xml:space="preserve"> differences along the dam. Turbines in t</w:t>
      </w:r>
      <w:r w:rsidR="00EA21DE">
        <w:t>he dam are used to convert this difference into electricity</w:t>
      </w:r>
      <w:r w:rsidR="00A55203" w:rsidRPr="00C95F78">
        <w:t>.</w:t>
      </w:r>
    </w:p>
    <w:p w:rsidR="00A55203" w:rsidRPr="00C95F78" w:rsidRDefault="00A55203" w:rsidP="00BB1A5E">
      <w:pPr>
        <w:autoSpaceDE w:val="0"/>
        <w:autoSpaceDN w:val="0"/>
        <w:adjustRightInd w:val="0"/>
        <w:spacing w:after="0" w:line="240" w:lineRule="auto"/>
        <w:jc w:val="both"/>
      </w:pPr>
    </w:p>
    <w:p w:rsidR="00A55203" w:rsidRPr="00C95F78" w:rsidRDefault="00EA21DE" w:rsidP="00BB1A5E">
      <w:pPr>
        <w:autoSpaceDE w:val="0"/>
        <w:autoSpaceDN w:val="0"/>
        <w:adjustRightInd w:val="0"/>
        <w:spacing w:after="0" w:line="240" w:lineRule="auto"/>
        <w:jc w:val="both"/>
      </w:pPr>
      <w:r>
        <w:t xml:space="preserve">Amongst technologies other than wave or tidal, </w:t>
      </w:r>
      <w:r w:rsidRPr="00EA21DE">
        <w:t>Ocean Thermal Energy C</w:t>
      </w:r>
      <w:r w:rsidR="00A55203" w:rsidRPr="00EA21DE">
        <w:t>onversion</w:t>
      </w:r>
      <w:r>
        <w:t xml:space="preserve"> (OTC) offers some promise.</w:t>
      </w:r>
      <w:r w:rsidR="00A55203" w:rsidRPr="00C95F78">
        <w:t xml:space="preserve"> This technology uses the </w:t>
      </w:r>
      <w:hyperlink r:id="rId115" w:tooltip="Temperature" w:history="1">
        <w:r w:rsidR="00A55203" w:rsidRPr="00C95F78">
          <w:t>temperature</w:t>
        </w:r>
      </w:hyperlink>
      <w:r w:rsidR="006933F8">
        <w:t xml:space="preserve"> difference</w:t>
      </w:r>
      <w:r w:rsidR="00A55203" w:rsidRPr="00C95F78">
        <w:t xml:space="preserve"> between deep </w:t>
      </w:r>
      <w:r w:rsidR="006933F8">
        <w:t xml:space="preserve">(1,000 metre) </w:t>
      </w:r>
      <w:r w:rsidR="00A55203" w:rsidRPr="00C95F78">
        <w:t xml:space="preserve">and shallow waters to run a </w:t>
      </w:r>
      <w:hyperlink r:id="rId116" w:tooltip="Heat engine" w:history="1">
        <w:r w:rsidR="00A55203" w:rsidRPr="00C95F78">
          <w:t>heat engine</w:t>
        </w:r>
      </w:hyperlink>
      <w:r w:rsidR="00A55203" w:rsidRPr="00C95F78">
        <w:t xml:space="preserve">. As long as the temperature between the warm surface water and the cold deep water differs by about 20°C, an OTEC system can produce a significant amount of power. </w:t>
      </w:r>
      <w:r w:rsidR="006933F8">
        <w:t xml:space="preserve">The technology is most suitable to tropical and subtropical conditions. </w:t>
      </w:r>
      <w:r w:rsidR="00A55203" w:rsidRPr="00C95F78">
        <w:t xml:space="preserve">The capital cost of installation </w:t>
      </w:r>
      <w:r w:rsidR="006933F8">
        <w:t>of such a system would be</w:t>
      </w:r>
      <w:r w:rsidR="00A55203" w:rsidRPr="00C95F78">
        <w:t xml:space="preserve"> extremely high</w:t>
      </w:r>
      <w:r w:rsidR="006933F8">
        <w:t xml:space="preserve">, however, and the technology is still at the planning or </w:t>
      </w:r>
      <w:r w:rsidR="00A55203" w:rsidRPr="00C95F78">
        <w:t xml:space="preserve">feasibility study stage. </w:t>
      </w:r>
    </w:p>
    <w:p w:rsidR="00A55203" w:rsidRPr="00C95F78" w:rsidRDefault="00A55203" w:rsidP="00BB1A5E">
      <w:pPr>
        <w:pStyle w:val="ListParagraph"/>
        <w:autoSpaceDE w:val="0"/>
        <w:autoSpaceDN w:val="0"/>
        <w:adjustRightInd w:val="0"/>
        <w:spacing w:after="0" w:line="240" w:lineRule="auto"/>
        <w:ind w:left="0"/>
        <w:jc w:val="both"/>
      </w:pPr>
    </w:p>
    <w:p w:rsidR="00A55203" w:rsidRPr="006933F8" w:rsidRDefault="006933F8" w:rsidP="00BB1A5E">
      <w:pPr>
        <w:autoSpaceDE w:val="0"/>
        <w:autoSpaceDN w:val="0"/>
        <w:adjustRightInd w:val="0"/>
        <w:spacing w:after="0" w:line="240" w:lineRule="auto"/>
        <w:jc w:val="both"/>
        <w:rPr>
          <w:lang w:val="en-US"/>
        </w:rPr>
      </w:pPr>
      <w:r w:rsidRPr="006933F8">
        <w:t>Salinity Gradient E</w:t>
      </w:r>
      <w:r w:rsidR="00A55203" w:rsidRPr="006933F8">
        <w:t>nergy</w:t>
      </w:r>
      <w:r w:rsidRPr="006933F8">
        <w:t xml:space="preserve"> also offers some potential. </w:t>
      </w:r>
      <w:r>
        <w:t xml:space="preserve">This takes advantage of the </w:t>
      </w:r>
      <w:r w:rsidR="00A55203" w:rsidRPr="00EA21DE">
        <w:rPr>
          <w:lang w:val="en-US"/>
        </w:rPr>
        <w:t>osmotic pressure differences between salt and fresh water</w:t>
      </w:r>
      <w:r>
        <w:rPr>
          <w:lang w:val="en-US"/>
        </w:rPr>
        <w:t>,</w:t>
      </w:r>
      <w:r w:rsidR="00A55203" w:rsidRPr="00EA21DE">
        <w:rPr>
          <w:lang w:val="en-US"/>
        </w:rPr>
        <w:t xml:space="preserve"> or water</w:t>
      </w:r>
      <w:r>
        <w:rPr>
          <w:lang w:val="en-US"/>
        </w:rPr>
        <w:t>s</w:t>
      </w:r>
      <w:r w:rsidR="00A55203" w:rsidRPr="00EA21DE">
        <w:rPr>
          <w:lang w:val="en-US"/>
        </w:rPr>
        <w:t xml:space="preserve"> of different salinity. It is the high</w:t>
      </w:r>
      <w:r w:rsidR="00C253D8">
        <w:rPr>
          <w:lang w:val="en-US"/>
        </w:rPr>
        <w:t xml:space="preserve">est energy concentration (i.e. </w:t>
      </w:r>
      <w:r w:rsidR="00A55203" w:rsidRPr="00EA21DE">
        <w:rPr>
          <w:lang w:val="en-US"/>
        </w:rPr>
        <w:t xml:space="preserve">energy density) of all marine renewable energy sources, </w:t>
      </w:r>
      <w:r>
        <w:rPr>
          <w:lang w:val="en-US"/>
        </w:rPr>
        <w:t xml:space="preserve">but has received relatively little attention since first proposed more than twenty years ago. </w:t>
      </w:r>
    </w:p>
    <w:p w:rsidR="00A55203" w:rsidRDefault="00A55203" w:rsidP="00BB1A5E">
      <w:pPr>
        <w:spacing w:after="0" w:line="240" w:lineRule="auto"/>
        <w:contextualSpacing/>
        <w:jc w:val="both"/>
      </w:pPr>
    </w:p>
    <w:p w:rsidR="00AC0F14" w:rsidRPr="00EF3CDB" w:rsidRDefault="00AC0F14" w:rsidP="00BB1A5E">
      <w:pPr>
        <w:spacing w:after="0" w:line="240" w:lineRule="auto"/>
        <w:contextualSpacing/>
        <w:jc w:val="both"/>
        <w:rPr>
          <w:b/>
          <w:color w:val="365F91" w:themeColor="accent1" w:themeShade="BF"/>
          <w:sz w:val="24"/>
          <w:szCs w:val="24"/>
        </w:rPr>
      </w:pPr>
      <w:r>
        <w:rPr>
          <w:b/>
          <w:color w:val="365F91" w:themeColor="accent1" w:themeShade="BF"/>
          <w:sz w:val="24"/>
          <w:szCs w:val="24"/>
        </w:rPr>
        <w:t>Market Forecasts by Sector</w:t>
      </w:r>
      <w:r w:rsidR="00E2720C">
        <w:rPr>
          <w:b/>
          <w:color w:val="365F91" w:themeColor="accent1" w:themeShade="BF"/>
          <w:sz w:val="24"/>
          <w:szCs w:val="24"/>
        </w:rPr>
        <w:t xml:space="preserve"> and Impact on Copper</w:t>
      </w:r>
    </w:p>
    <w:p w:rsidR="00AC0F14" w:rsidRDefault="00AC0F14" w:rsidP="00BB1A5E">
      <w:pPr>
        <w:spacing w:after="0" w:line="240" w:lineRule="auto"/>
        <w:contextualSpacing/>
        <w:jc w:val="both"/>
      </w:pPr>
    </w:p>
    <w:p w:rsidR="00E2720C" w:rsidRDefault="00E2720C" w:rsidP="00BB1A5E">
      <w:pPr>
        <w:spacing w:after="0" w:line="240" w:lineRule="auto"/>
        <w:contextualSpacing/>
        <w:jc w:val="both"/>
      </w:pPr>
      <w:r>
        <w:t>The number of projects under development is limited, so it is not expected that ocean power will become a major force in the near future. If current reduction and technology expansion continues, and trials of new and emerging technologies prove successful, then a much wider acceptance of ocean power will result.</w:t>
      </w:r>
    </w:p>
    <w:p w:rsidR="00E2720C" w:rsidRDefault="00E2720C" w:rsidP="00BB1A5E">
      <w:pPr>
        <w:spacing w:after="0" w:line="240" w:lineRule="auto"/>
        <w:contextualSpacing/>
        <w:jc w:val="both"/>
      </w:pPr>
      <w:r>
        <w:t xml:space="preserve">The status of ocean power overall will be influenced by public attitude towards and the success in development of the Severn Barrage. The various plans for this project could bring capacity of 0.8 GW to 1.35 GW in a single scheme. </w:t>
      </w:r>
    </w:p>
    <w:p w:rsidR="00E2720C" w:rsidRDefault="00E2720C" w:rsidP="00BB1A5E">
      <w:pPr>
        <w:spacing w:after="0" w:line="240" w:lineRule="auto"/>
        <w:contextualSpacing/>
        <w:jc w:val="both"/>
      </w:pPr>
    </w:p>
    <w:p w:rsidR="00EB040E" w:rsidRDefault="00E2720C" w:rsidP="00BB1A5E">
      <w:pPr>
        <w:spacing w:after="0" w:line="240" w:lineRule="auto"/>
        <w:contextualSpacing/>
        <w:jc w:val="both"/>
      </w:pPr>
      <w:r>
        <w:t xml:space="preserve">Construction is expected to start around 2016-2017 and to take seven or eight years. It is probable that copper relating to this project will be installed quite late scheme, meaning that it may fall outside the timeframe covered in this Report. </w:t>
      </w:r>
    </w:p>
    <w:p w:rsidR="00EB040E" w:rsidRDefault="00EB040E" w:rsidP="00BB1A5E">
      <w:pPr>
        <w:spacing w:after="0" w:line="240" w:lineRule="auto"/>
        <w:contextualSpacing/>
        <w:jc w:val="both"/>
      </w:pPr>
    </w:p>
    <w:p w:rsidR="00E2720C" w:rsidRDefault="00E2720C" w:rsidP="00BB1A5E">
      <w:pPr>
        <w:spacing w:after="0" w:line="240" w:lineRule="auto"/>
        <w:contextualSpacing/>
        <w:jc w:val="both"/>
      </w:pPr>
      <w:r>
        <w:t xml:space="preserve">The amount of </w:t>
      </w:r>
      <w:r w:rsidR="00EB040E">
        <w:t>copper required for this Severn Barrage</w:t>
      </w:r>
      <w:r>
        <w:t xml:space="preserve"> could be very substantial indeed. Unlike conventional hydroelectric schemes, the components of the syste</w:t>
      </w:r>
      <w:r w:rsidR="00EB040E">
        <w:t>m will have to deal with a saline</w:t>
      </w:r>
      <w:r>
        <w:t xml:space="preserve"> environment. This potentially creates a need for the use o</w:t>
      </w:r>
      <w:r w:rsidR="00EB040E">
        <w:t>f copper nickel alloys. Taking this i</w:t>
      </w:r>
      <w:r>
        <w:t xml:space="preserve">nto account, it is reasonable to assume that the Severn Barrage scheme may use copper at the rate of 2 tonnes per MW. This would mean copper use of </w:t>
      </w:r>
      <w:r w:rsidR="00EB040E">
        <w:t>1.7 kt to 2.7 kt in just one project.</w:t>
      </w:r>
    </w:p>
    <w:p w:rsidR="00E2720C" w:rsidRDefault="00E2720C" w:rsidP="00BB1A5E">
      <w:pPr>
        <w:spacing w:after="0" w:line="240" w:lineRule="auto"/>
        <w:contextualSpacing/>
        <w:jc w:val="both"/>
      </w:pPr>
    </w:p>
    <w:p w:rsidR="00E2720C" w:rsidRDefault="00EB040E" w:rsidP="00BB1A5E">
      <w:pPr>
        <w:spacing w:after="0" w:line="240" w:lineRule="auto"/>
        <w:contextualSpacing/>
        <w:jc w:val="both"/>
      </w:pPr>
      <w:r>
        <w:t>It is clear that there are not many potential Severn Barrage type projects to be found around the world. This being said, if the project is successful we may expect to see a rapid commercialisation of ocean power soon after its installation, making this an importa</w:t>
      </w:r>
      <w:r w:rsidR="00EC1F44">
        <w:t xml:space="preserve">nt emerging </w:t>
      </w:r>
      <w:r w:rsidR="00EC1F44" w:rsidRPr="00223DD8">
        <w:t>market for the 2020s</w:t>
      </w:r>
      <w:r w:rsidRPr="00223DD8">
        <w:t>.</w:t>
      </w:r>
    </w:p>
    <w:p w:rsidR="00E2720C" w:rsidRDefault="00E2720C" w:rsidP="00BB1A5E">
      <w:pPr>
        <w:spacing w:after="0" w:line="240" w:lineRule="auto"/>
        <w:contextualSpacing/>
        <w:jc w:val="both"/>
      </w:pPr>
    </w:p>
    <w:p w:rsidR="00EF3CDB" w:rsidRPr="00EF3CDB" w:rsidRDefault="00E86723"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31" w:name="_Toc263688596"/>
      <w:r>
        <w:rPr>
          <w:rFonts w:asciiTheme="minorHAnsi" w:hAnsiTheme="minorHAnsi"/>
          <w:color w:val="365F91" w:themeColor="accent1" w:themeShade="BF"/>
          <w:sz w:val="26"/>
          <w:szCs w:val="26"/>
        </w:rPr>
        <w:t xml:space="preserve">Other </w:t>
      </w:r>
      <w:r w:rsidR="00CF7F5E">
        <w:rPr>
          <w:rFonts w:asciiTheme="minorHAnsi" w:hAnsiTheme="minorHAnsi"/>
          <w:color w:val="365F91" w:themeColor="accent1" w:themeShade="BF"/>
          <w:sz w:val="26"/>
          <w:szCs w:val="26"/>
        </w:rPr>
        <w:t>Renewables-Based Electricity Generation</w:t>
      </w:r>
      <w:bookmarkEnd w:id="131"/>
    </w:p>
    <w:p w:rsidR="00EF3CDB" w:rsidRPr="00EF3CDB" w:rsidRDefault="00EF3CDB" w:rsidP="00BB1A5E">
      <w:pPr>
        <w:spacing w:after="0" w:line="240" w:lineRule="auto"/>
        <w:contextualSpacing/>
        <w:jc w:val="both"/>
      </w:pPr>
    </w:p>
    <w:p w:rsidR="00A55203" w:rsidRDefault="00CF7F5E" w:rsidP="00BB1A5E">
      <w:pPr>
        <w:spacing w:after="0" w:line="240" w:lineRule="auto"/>
        <w:contextualSpacing/>
        <w:jc w:val="both"/>
      </w:pPr>
      <w:r>
        <w:t>To complete the picture, we include other renewable-based electricity generation in our assessment of copper use in the new energy markets. The market sectors concerned are small hydro, biomass and geothermal. We also include figures for wave and tidal power.</w:t>
      </w:r>
    </w:p>
    <w:p w:rsidR="00CF7F5E" w:rsidRDefault="00CF7F5E" w:rsidP="00BB1A5E">
      <w:pPr>
        <w:spacing w:after="0" w:line="240" w:lineRule="auto"/>
        <w:contextualSpacing/>
        <w:jc w:val="both"/>
      </w:pPr>
    </w:p>
    <w:p w:rsidR="00CF7F5E" w:rsidRPr="00CF7F5E" w:rsidRDefault="00CF7F5E" w:rsidP="00BB1A5E">
      <w:pPr>
        <w:spacing w:after="0" w:line="240" w:lineRule="auto"/>
        <w:contextualSpacing/>
        <w:jc w:val="both"/>
      </w:pPr>
      <w:r>
        <w:rPr>
          <w:b/>
        </w:rPr>
        <w:t xml:space="preserve">Small Hydro: </w:t>
      </w:r>
      <w:r>
        <w:t xml:space="preserve">This market consists of locally generated hydroelectricity on a small scale. Small hydro is an established technology, the facilities often being quite primitive. The main regional market for small hydro is China, this being </w:t>
      </w:r>
      <w:r w:rsidR="00756A4C">
        <w:t>quite a small source of electricity generation in Europe. Significant growth in capacity at a cumulative rate of 9.0% p.a. is forecast between 2010 and 2020, taking capacity from 102 GW to 242 GW.</w:t>
      </w:r>
    </w:p>
    <w:p w:rsidR="00CF7F5E" w:rsidRDefault="00CF7F5E" w:rsidP="00BB1A5E">
      <w:pPr>
        <w:spacing w:after="0" w:line="240" w:lineRule="auto"/>
        <w:contextualSpacing/>
        <w:jc w:val="both"/>
      </w:pPr>
    </w:p>
    <w:p w:rsidR="00756A4C" w:rsidRDefault="00756A4C" w:rsidP="00BB1A5E">
      <w:pPr>
        <w:spacing w:after="0" w:line="240" w:lineRule="auto"/>
        <w:contextualSpacing/>
        <w:jc w:val="both"/>
      </w:pPr>
      <w:r>
        <w:rPr>
          <w:b/>
        </w:rPr>
        <w:t xml:space="preserve">Biomass: </w:t>
      </w:r>
      <w:r>
        <w:t>The biomass sector uses a variety of plant and animal materials as an energy source. Where grown specially for the purpose, this is a sustainable form of electricity generation, although not necessarily clean. Biomass electricity generation is an established technology. Many older facilities are primitive, although there is modern development in the biomass sector. This is especially the case in Europe, which has quite a large share of the biomass market. At 7.5% p.a., the rate of growth in biomass generating capacity is expected to fall behind other types of distributed electricity generation. We forecast growth in capacity from 62 GW to 127 GW between 2010 and 2020.</w:t>
      </w:r>
    </w:p>
    <w:p w:rsidR="00756A4C" w:rsidRDefault="00756A4C" w:rsidP="00BB1A5E">
      <w:pPr>
        <w:spacing w:after="0" w:line="240" w:lineRule="auto"/>
        <w:contextualSpacing/>
        <w:jc w:val="both"/>
      </w:pPr>
    </w:p>
    <w:p w:rsidR="00E476E5" w:rsidRPr="00756A4C" w:rsidRDefault="00756A4C" w:rsidP="00BB1A5E">
      <w:pPr>
        <w:spacing w:after="0" w:line="240" w:lineRule="auto"/>
        <w:contextualSpacing/>
        <w:jc w:val="both"/>
      </w:pPr>
      <w:r>
        <w:rPr>
          <w:b/>
        </w:rPr>
        <w:t xml:space="preserve">Geothermal: </w:t>
      </w:r>
      <w:r>
        <w:t>The opportunity to capture geothermal power for electricity is limited to a few locations around the globe. This is, therefore, a relatively minor form of electricity generation. We forecast a fairly modest 7.2% p.a. rate of</w:t>
      </w:r>
      <w:r w:rsidR="008A57F1">
        <w:t xml:space="preserve"> growth in geothermal capacity from11 GW to 22 GW between 2010 and 2020.</w:t>
      </w:r>
    </w:p>
    <w:p w:rsidR="00756A4C" w:rsidRDefault="00756A4C" w:rsidP="00BB1A5E">
      <w:pPr>
        <w:spacing w:after="0" w:line="240" w:lineRule="auto"/>
        <w:contextualSpacing/>
        <w:jc w:val="both"/>
      </w:pPr>
    </w:p>
    <w:p w:rsidR="00756A4C" w:rsidRDefault="008A57F1" w:rsidP="00BB1A5E">
      <w:pPr>
        <w:spacing w:after="0" w:line="240" w:lineRule="auto"/>
        <w:contextualSpacing/>
        <w:jc w:val="both"/>
      </w:pPr>
      <w:r>
        <w:rPr>
          <w:b/>
        </w:rPr>
        <w:t xml:space="preserve">Tidal &amp; Wave: </w:t>
      </w:r>
      <w:r>
        <w:t>Developments in ocean power are reviewed in Section 3</w:t>
      </w:r>
      <w:r w:rsidR="00827161">
        <w:t>.</w:t>
      </w:r>
      <w:r>
        <w:t>5</w:t>
      </w:r>
      <w:r w:rsidR="00827161">
        <w:t>.</w:t>
      </w:r>
      <w:r>
        <w:t>3. This is at present a very small market, but one with a great deal of potential long term. Installed capacity at present is just 0.3 GW. There will be small projects coming on-stream over the next decade, but real expansion should come only in the 2020s, starting with the 0.83-1.3 GW Severn Barrage project in the United Kingdom.</w:t>
      </w:r>
    </w:p>
    <w:p w:rsidR="008A57F1" w:rsidRDefault="008A57F1" w:rsidP="00BB1A5E">
      <w:pPr>
        <w:spacing w:after="0" w:line="240" w:lineRule="auto"/>
        <w:contextualSpacing/>
        <w:jc w:val="both"/>
      </w:pPr>
    </w:p>
    <w:p w:rsidR="008A57F1" w:rsidRDefault="008A57F1" w:rsidP="00BB1A5E">
      <w:pPr>
        <w:spacing w:after="0" w:line="240" w:lineRule="auto"/>
        <w:contextualSpacing/>
        <w:jc w:val="both"/>
      </w:pPr>
      <w:r w:rsidRPr="00827161">
        <w:rPr>
          <w:b/>
        </w:rPr>
        <w:t xml:space="preserve">Combined </w:t>
      </w:r>
      <w:r w:rsidR="00827161">
        <w:rPr>
          <w:b/>
        </w:rPr>
        <w:t>New Capacity</w:t>
      </w:r>
      <w:r w:rsidRPr="00827161">
        <w:rPr>
          <w:b/>
        </w:rPr>
        <w:t>:</w:t>
      </w:r>
      <w:r w:rsidRPr="008A57F1">
        <w:t xml:space="preserve"> Taking the four groups of electricity generation types considered above, we forecast combined new capacity installation of 14 GW in 2010, rising to 24 GW in 2020.</w:t>
      </w:r>
      <w:r>
        <w:t xml:space="preserve"> </w:t>
      </w:r>
      <w:r w:rsidR="00621010">
        <w:t>T</w:t>
      </w:r>
      <w:r>
        <w:t>his reflects a compound growth rate of 7.5% p.a.</w:t>
      </w:r>
    </w:p>
    <w:p w:rsidR="00621010" w:rsidRPr="008A57F1" w:rsidRDefault="00621010" w:rsidP="00BB1A5E">
      <w:pPr>
        <w:spacing w:after="0" w:line="240" w:lineRule="auto"/>
        <w:contextualSpacing/>
        <w:jc w:val="both"/>
      </w:pPr>
    </w:p>
    <w:p w:rsidR="0080674D" w:rsidRPr="00C95F78" w:rsidRDefault="0080674D" w:rsidP="00621010">
      <w:pPr>
        <w:pStyle w:val="Caption"/>
        <w:contextualSpacing/>
        <w:jc w:val="center"/>
        <w:rPr>
          <w:sz w:val="28"/>
          <w:szCs w:val="28"/>
        </w:rPr>
      </w:pPr>
      <w:bookmarkStart w:id="132" w:name="_Toc26367172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73</w:t>
      </w:r>
      <w:r w:rsidR="00D50FDC" w:rsidRPr="00C95F78">
        <w:rPr>
          <w:sz w:val="28"/>
          <w:szCs w:val="28"/>
        </w:rPr>
        <w:fldChar w:fldCharType="end"/>
      </w:r>
      <w:r w:rsidRPr="00C95F78">
        <w:rPr>
          <w:sz w:val="28"/>
          <w:szCs w:val="28"/>
        </w:rPr>
        <w:t xml:space="preserve">: </w:t>
      </w:r>
      <w:r w:rsidR="004C6A71">
        <w:rPr>
          <w:sz w:val="28"/>
          <w:szCs w:val="28"/>
        </w:rPr>
        <w:t>Other Renewables-Based Electricity Generation Markets</w:t>
      </w:r>
      <w:bookmarkEnd w:id="132"/>
    </w:p>
    <w:p w:rsidR="0080674D" w:rsidRPr="00C95F78" w:rsidRDefault="004C6A71" w:rsidP="00BB1A5E">
      <w:pPr>
        <w:spacing w:after="0" w:line="240" w:lineRule="auto"/>
        <w:contextualSpacing/>
        <w:jc w:val="both"/>
      </w:pPr>
      <w:r w:rsidRPr="004C6A71">
        <w:rPr>
          <w:noProof/>
          <w:lang w:val="en-US"/>
        </w:rPr>
        <w:drawing>
          <wp:inline distT="0" distB="0" distL="0" distR="0">
            <wp:extent cx="5832675" cy="552202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l="-722"/>
                    <a:stretch>
                      <a:fillRect/>
                    </a:stretch>
                  </pic:blipFill>
                  <pic:spPr bwMode="auto">
                    <a:xfrm>
                      <a:off x="0" y="0"/>
                      <a:ext cx="5832675" cy="5522026"/>
                    </a:xfrm>
                    <a:prstGeom prst="rect">
                      <a:avLst/>
                    </a:prstGeom>
                    <a:noFill/>
                    <a:ln w="9525">
                      <a:noFill/>
                      <a:miter lim="800000"/>
                      <a:headEnd/>
                      <a:tailEnd/>
                    </a:ln>
                  </pic:spPr>
                </pic:pic>
              </a:graphicData>
            </a:graphic>
          </wp:inline>
        </w:drawing>
      </w:r>
    </w:p>
    <w:p w:rsidR="0080674D" w:rsidRDefault="0080674D" w:rsidP="00BB1A5E">
      <w:pPr>
        <w:spacing w:after="0" w:line="240" w:lineRule="auto"/>
        <w:contextualSpacing/>
        <w:jc w:val="both"/>
        <w:rPr>
          <w:sz w:val="12"/>
          <w:szCs w:val="12"/>
        </w:rPr>
      </w:pPr>
    </w:p>
    <w:p w:rsidR="00317338" w:rsidRPr="00317338" w:rsidRDefault="00317338" w:rsidP="00BB1A5E">
      <w:pPr>
        <w:spacing w:after="0" w:line="240" w:lineRule="auto"/>
        <w:contextualSpacing/>
        <w:jc w:val="both"/>
        <w:rPr>
          <w:sz w:val="12"/>
          <w:szCs w:val="12"/>
        </w:rPr>
      </w:pPr>
    </w:p>
    <w:p w:rsidR="00317338" w:rsidRPr="00317338" w:rsidRDefault="00317338" w:rsidP="00BB1A5E">
      <w:pPr>
        <w:spacing w:after="0" w:line="240" w:lineRule="auto"/>
        <w:jc w:val="both"/>
        <w:rPr>
          <w:b/>
          <w:sz w:val="12"/>
          <w:szCs w:val="12"/>
        </w:rPr>
      </w:pPr>
    </w:p>
    <w:p w:rsidR="008A57F1" w:rsidRPr="00827161" w:rsidRDefault="00827161" w:rsidP="00BB1A5E">
      <w:pPr>
        <w:spacing w:after="0" w:line="240" w:lineRule="auto"/>
        <w:jc w:val="both"/>
      </w:pPr>
      <w:r>
        <w:rPr>
          <w:b/>
        </w:rPr>
        <w:t>Copper Use:</w:t>
      </w:r>
      <w:r>
        <w:t xml:space="preserve"> Combined copper use in the other renewable category is forecast to rise from 20 kt in 2010 to 51 kt in 2020. Europe’s share and growth is expected to be modest.</w:t>
      </w:r>
    </w:p>
    <w:p w:rsidR="0080674D" w:rsidRPr="00C95F78" w:rsidRDefault="0080674D" w:rsidP="00BB1A5E">
      <w:pPr>
        <w:spacing w:after="0" w:line="240" w:lineRule="auto"/>
        <w:contextualSpacing/>
        <w:jc w:val="both"/>
      </w:pPr>
    </w:p>
    <w:p w:rsidR="00E86723" w:rsidRPr="00C95F78" w:rsidRDefault="00E86723"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33" w:name="_Toc263688597"/>
      <w:r>
        <w:rPr>
          <w:rFonts w:asciiTheme="minorHAnsi" w:hAnsiTheme="minorHAnsi"/>
          <w:color w:val="365F91" w:themeColor="accent1" w:themeShade="BF"/>
          <w:sz w:val="30"/>
          <w:szCs w:val="30"/>
        </w:rPr>
        <w:t>Copper Use in All Renewables-Based and Distributed Generation</w:t>
      </w:r>
      <w:bookmarkEnd w:id="133"/>
    </w:p>
    <w:p w:rsidR="0080674D" w:rsidRDefault="0080674D" w:rsidP="00BB1A5E">
      <w:pPr>
        <w:spacing w:after="0" w:line="240" w:lineRule="auto"/>
        <w:contextualSpacing/>
        <w:jc w:val="both"/>
      </w:pPr>
    </w:p>
    <w:p w:rsidR="0080674D" w:rsidRDefault="00827161" w:rsidP="00BB1A5E">
      <w:pPr>
        <w:spacing w:after="0" w:line="240" w:lineRule="auto"/>
        <w:contextualSpacing/>
        <w:jc w:val="both"/>
      </w:pPr>
      <w:r>
        <w:t>Total copper use in renewable-based and distributed electricity generation is thought to constitute a 158 kt market for copper in 2010. As a whole, this is expected to be one of the few big growth areas for copper over the next decade, with more than 300 ktpy being added to consumption.</w:t>
      </w:r>
    </w:p>
    <w:p w:rsidR="00827161" w:rsidRDefault="00827161" w:rsidP="00BB1A5E">
      <w:pPr>
        <w:spacing w:after="0" w:line="240" w:lineRule="auto"/>
        <w:contextualSpacing/>
        <w:jc w:val="both"/>
      </w:pPr>
    </w:p>
    <w:p w:rsidR="00827161" w:rsidRDefault="00317338" w:rsidP="00BB1A5E">
      <w:pPr>
        <w:spacing w:after="0" w:line="240" w:lineRule="auto"/>
        <w:contextualSpacing/>
        <w:jc w:val="both"/>
      </w:pPr>
      <w:r>
        <w:t>By far the largest of the renewable-based markets, and the fastest growing, is wind power. Solar power is also important, mainly in photovoltaics, although significant growth is expected also in concentrating solar power.</w:t>
      </w:r>
    </w:p>
    <w:p w:rsidR="00317338" w:rsidRDefault="00317338" w:rsidP="00BB1A5E">
      <w:pPr>
        <w:spacing w:after="0" w:line="240" w:lineRule="auto"/>
        <w:contextualSpacing/>
        <w:jc w:val="both"/>
      </w:pPr>
    </w:p>
    <w:p w:rsidR="00317338" w:rsidRDefault="00317338" w:rsidP="00BB1A5E">
      <w:pPr>
        <w:spacing w:after="0" w:line="240" w:lineRule="auto"/>
        <w:contextualSpacing/>
        <w:jc w:val="both"/>
      </w:pPr>
      <w:r>
        <w:t>By component sector group, the market is fairly equally split between turbines/generators, transformers/inverters and cables, although other equipment, especially power electronics, is also important. Energy cable and winding wire dominate the product mix used in this market sector.</w:t>
      </w:r>
      <w:r>
        <w:br w:type="page"/>
      </w:r>
    </w:p>
    <w:p w:rsidR="004C6A71" w:rsidRPr="00C95F78" w:rsidRDefault="004C6A71" w:rsidP="00621010">
      <w:pPr>
        <w:pStyle w:val="Caption"/>
        <w:spacing w:after="120"/>
        <w:contextualSpacing/>
        <w:jc w:val="center"/>
        <w:rPr>
          <w:sz w:val="28"/>
          <w:szCs w:val="28"/>
        </w:rPr>
      </w:pPr>
      <w:bookmarkStart w:id="134" w:name="_Toc26367172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74</w:t>
      </w:r>
      <w:r w:rsidR="00D50FDC" w:rsidRPr="00C95F78">
        <w:rPr>
          <w:sz w:val="28"/>
          <w:szCs w:val="28"/>
        </w:rPr>
        <w:fldChar w:fldCharType="end"/>
      </w:r>
      <w:r w:rsidRPr="00C95F78">
        <w:rPr>
          <w:sz w:val="28"/>
          <w:szCs w:val="28"/>
        </w:rPr>
        <w:t xml:space="preserve">: </w:t>
      </w:r>
      <w:r>
        <w:rPr>
          <w:sz w:val="28"/>
          <w:szCs w:val="28"/>
        </w:rPr>
        <w:t>Renewables-Based</w:t>
      </w:r>
      <w:r w:rsidRPr="004C6A71">
        <w:rPr>
          <w:sz w:val="28"/>
          <w:szCs w:val="28"/>
        </w:rPr>
        <w:t xml:space="preserve"> Generation Market for Copper by Type</w:t>
      </w:r>
      <w:r>
        <w:rPr>
          <w:sz w:val="28"/>
          <w:szCs w:val="28"/>
        </w:rPr>
        <w:t xml:space="preserve"> (kt Cu)</w:t>
      </w:r>
      <w:bookmarkEnd w:id="134"/>
    </w:p>
    <w:p w:rsidR="004C6A71" w:rsidRDefault="00317338" w:rsidP="00621010">
      <w:pPr>
        <w:spacing w:after="0" w:line="240" w:lineRule="auto"/>
        <w:contextualSpacing/>
        <w:jc w:val="center"/>
      </w:pPr>
      <w:r w:rsidRPr="00317338">
        <w:rPr>
          <w:noProof/>
          <w:lang w:val="en-US"/>
        </w:rPr>
        <w:drawing>
          <wp:inline distT="0" distB="0" distL="0" distR="0">
            <wp:extent cx="5582168" cy="2315689"/>
            <wp:effectExtent l="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l="-3301"/>
                    <a:stretch>
                      <a:fillRect/>
                    </a:stretch>
                  </pic:blipFill>
                  <pic:spPr bwMode="auto">
                    <a:xfrm>
                      <a:off x="0" y="0"/>
                      <a:ext cx="5582168" cy="2315689"/>
                    </a:xfrm>
                    <a:prstGeom prst="rect">
                      <a:avLst/>
                    </a:prstGeom>
                    <a:noFill/>
                    <a:ln w="9525">
                      <a:noFill/>
                      <a:miter lim="800000"/>
                      <a:headEnd/>
                      <a:tailEnd/>
                    </a:ln>
                  </pic:spPr>
                </pic:pic>
              </a:graphicData>
            </a:graphic>
          </wp:inline>
        </w:drawing>
      </w:r>
    </w:p>
    <w:p w:rsidR="004C6A71" w:rsidRDefault="004C6A71" w:rsidP="00BB1A5E">
      <w:pPr>
        <w:spacing w:after="0" w:line="240" w:lineRule="auto"/>
        <w:contextualSpacing/>
        <w:jc w:val="both"/>
      </w:pPr>
    </w:p>
    <w:p w:rsidR="004C6A71" w:rsidRPr="00C95F78" w:rsidRDefault="004C6A71" w:rsidP="00621010">
      <w:pPr>
        <w:pStyle w:val="Caption"/>
        <w:spacing w:after="120"/>
        <w:contextualSpacing/>
        <w:jc w:val="center"/>
        <w:rPr>
          <w:sz w:val="28"/>
          <w:szCs w:val="28"/>
        </w:rPr>
      </w:pPr>
      <w:bookmarkStart w:id="135" w:name="_Toc26367172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75</w:t>
      </w:r>
      <w:r w:rsidR="00D50FDC" w:rsidRPr="00C95F78">
        <w:rPr>
          <w:sz w:val="28"/>
          <w:szCs w:val="28"/>
        </w:rPr>
        <w:fldChar w:fldCharType="end"/>
      </w:r>
      <w:r w:rsidRPr="00C95F78">
        <w:rPr>
          <w:sz w:val="28"/>
          <w:szCs w:val="28"/>
        </w:rPr>
        <w:t xml:space="preserve">: </w:t>
      </w:r>
      <w:r w:rsidR="008A57F1">
        <w:rPr>
          <w:sz w:val="28"/>
          <w:szCs w:val="28"/>
        </w:rPr>
        <w:t xml:space="preserve">Copper Use in Renewables Generation by </w:t>
      </w:r>
      <w:r w:rsidRPr="004C6A71">
        <w:rPr>
          <w:sz w:val="28"/>
          <w:szCs w:val="28"/>
        </w:rPr>
        <w:t>Component Sector</w:t>
      </w:r>
      <w:r>
        <w:rPr>
          <w:sz w:val="28"/>
          <w:szCs w:val="28"/>
        </w:rPr>
        <w:t xml:space="preserve"> (kt Cu)</w:t>
      </w:r>
      <w:bookmarkEnd w:id="135"/>
    </w:p>
    <w:p w:rsidR="004C6A71" w:rsidRDefault="004C6A71" w:rsidP="00621010">
      <w:pPr>
        <w:spacing w:after="0" w:line="240" w:lineRule="auto"/>
        <w:contextualSpacing/>
        <w:jc w:val="center"/>
      </w:pPr>
      <w:r w:rsidRPr="004C6A71">
        <w:rPr>
          <w:noProof/>
          <w:lang w:val="en-US"/>
        </w:rPr>
        <w:drawing>
          <wp:inline distT="0" distB="0" distL="0" distR="0">
            <wp:extent cx="5563282" cy="23431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l="-3301"/>
                    <a:stretch>
                      <a:fillRect/>
                    </a:stretch>
                  </pic:blipFill>
                  <pic:spPr bwMode="auto">
                    <a:xfrm>
                      <a:off x="0" y="0"/>
                      <a:ext cx="5563282" cy="2343150"/>
                    </a:xfrm>
                    <a:prstGeom prst="rect">
                      <a:avLst/>
                    </a:prstGeom>
                    <a:noFill/>
                    <a:ln w="9525">
                      <a:noFill/>
                      <a:miter lim="800000"/>
                      <a:headEnd/>
                      <a:tailEnd/>
                    </a:ln>
                  </pic:spPr>
                </pic:pic>
              </a:graphicData>
            </a:graphic>
          </wp:inline>
        </w:drawing>
      </w:r>
    </w:p>
    <w:p w:rsidR="004C6A71" w:rsidRDefault="004C6A71" w:rsidP="00BB1A5E">
      <w:pPr>
        <w:spacing w:after="0" w:line="240" w:lineRule="auto"/>
        <w:contextualSpacing/>
        <w:jc w:val="both"/>
      </w:pPr>
    </w:p>
    <w:p w:rsidR="004C6A71" w:rsidRPr="00C95F78" w:rsidRDefault="004C6A71" w:rsidP="00621010">
      <w:pPr>
        <w:pStyle w:val="Caption"/>
        <w:spacing w:after="120"/>
        <w:contextualSpacing/>
        <w:jc w:val="center"/>
        <w:rPr>
          <w:sz w:val="28"/>
          <w:szCs w:val="28"/>
        </w:rPr>
      </w:pPr>
      <w:bookmarkStart w:id="136" w:name="_Toc26367173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76</w:t>
      </w:r>
      <w:r w:rsidR="00D50FDC" w:rsidRPr="00C95F78">
        <w:rPr>
          <w:sz w:val="28"/>
          <w:szCs w:val="28"/>
        </w:rPr>
        <w:fldChar w:fldCharType="end"/>
      </w:r>
      <w:r w:rsidRPr="00C95F78">
        <w:rPr>
          <w:sz w:val="28"/>
          <w:szCs w:val="28"/>
        </w:rPr>
        <w:t xml:space="preserve">: </w:t>
      </w:r>
      <w:r w:rsidRPr="004C6A71">
        <w:rPr>
          <w:sz w:val="28"/>
          <w:szCs w:val="28"/>
        </w:rPr>
        <w:t xml:space="preserve">Copper </w:t>
      </w:r>
      <w:r w:rsidR="008A57F1">
        <w:rPr>
          <w:sz w:val="28"/>
          <w:szCs w:val="28"/>
        </w:rPr>
        <w:t xml:space="preserve">Use in Renewables Generation </w:t>
      </w:r>
      <w:r w:rsidRPr="004C6A71">
        <w:rPr>
          <w:sz w:val="28"/>
          <w:szCs w:val="28"/>
        </w:rPr>
        <w:t>by Fabricated Product</w:t>
      </w:r>
      <w:r>
        <w:rPr>
          <w:sz w:val="28"/>
          <w:szCs w:val="28"/>
        </w:rPr>
        <w:t xml:space="preserve"> (kt Cu)</w:t>
      </w:r>
      <w:bookmarkEnd w:id="136"/>
    </w:p>
    <w:p w:rsidR="004C6A71" w:rsidRDefault="004C6A71" w:rsidP="00621010">
      <w:pPr>
        <w:spacing w:after="0" w:line="240" w:lineRule="auto"/>
        <w:contextualSpacing/>
        <w:jc w:val="center"/>
      </w:pPr>
      <w:r w:rsidRPr="004C6A71">
        <w:rPr>
          <w:noProof/>
          <w:lang w:val="en-US"/>
        </w:rPr>
        <w:drawing>
          <wp:inline distT="0" distB="0" distL="0" distR="0">
            <wp:extent cx="5563282" cy="30289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l="-3301"/>
                    <a:stretch>
                      <a:fillRect/>
                    </a:stretch>
                  </pic:blipFill>
                  <pic:spPr bwMode="auto">
                    <a:xfrm>
                      <a:off x="0" y="0"/>
                      <a:ext cx="5563282" cy="3028950"/>
                    </a:xfrm>
                    <a:prstGeom prst="rect">
                      <a:avLst/>
                    </a:prstGeom>
                    <a:noFill/>
                    <a:ln w="9525">
                      <a:noFill/>
                      <a:miter lim="800000"/>
                      <a:headEnd/>
                      <a:tailEnd/>
                    </a:ln>
                  </pic:spPr>
                </pic:pic>
              </a:graphicData>
            </a:graphic>
          </wp:inline>
        </w:drawing>
      </w:r>
    </w:p>
    <w:p w:rsidR="007B697C" w:rsidRPr="00B32B5F" w:rsidRDefault="007B697C"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37" w:name="_Toc263688598"/>
      <w:r w:rsidRPr="00B32B5F">
        <w:rPr>
          <w:rFonts w:asciiTheme="minorHAnsi" w:hAnsiTheme="minorHAnsi"/>
          <w:color w:val="365F91" w:themeColor="accent1" w:themeShade="BF"/>
          <w:sz w:val="30"/>
          <w:szCs w:val="30"/>
        </w:rPr>
        <w:t>Renewables-Based and Other Energy Efficient Desalination</w:t>
      </w:r>
      <w:bookmarkEnd w:id="137"/>
    </w:p>
    <w:p w:rsidR="007B697C" w:rsidRDefault="007B697C" w:rsidP="00BB1A5E">
      <w:pPr>
        <w:spacing w:after="0" w:line="240" w:lineRule="auto"/>
        <w:contextualSpacing/>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38" w:name="_Toc263688599"/>
      <w:r w:rsidRPr="007A1D02">
        <w:rPr>
          <w:rFonts w:asciiTheme="minorHAnsi" w:hAnsiTheme="minorHAnsi"/>
          <w:color w:val="365F91" w:themeColor="accent1" w:themeShade="BF"/>
          <w:sz w:val="26"/>
          <w:szCs w:val="26"/>
        </w:rPr>
        <w:t>Sector Background</w:t>
      </w:r>
      <w:bookmarkEnd w:id="138"/>
    </w:p>
    <w:p w:rsidR="007B697C" w:rsidRPr="00C95F78" w:rsidRDefault="007B697C" w:rsidP="00BB1A5E">
      <w:pPr>
        <w:spacing w:after="0" w:line="240" w:lineRule="auto"/>
        <w:contextualSpacing/>
        <w:jc w:val="both"/>
      </w:pPr>
    </w:p>
    <w:p w:rsidR="007B697C" w:rsidRDefault="007B697C" w:rsidP="00BB1A5E">
      <w:pPr>
        <w:autoSpaceDE w:val="0"/>
        <w:autoSpaceDN w:val="0"/>
        <w:adjustRightInd w:val="0"/>
        <w:spacing w:after="0" w:line="240" w:lineRule="auto"/>
        <w:jc w:val="both"/>
      </w:pPr>
      <w:r w:rsidRPr="00C95F78">
        <w:t>Large-scale desalination typically uses extremely large amount</w:t>
      </w:r>
      <w:r>
        <w:t>s of energy, as well as a specialised, expensive infrastructure. This makes desalination</w:t>
      </w:r>
      <w:r w:rsidRPr="00C95F78">
        <w:t xml:space="preserve"> very costly compared to the use of fresh water from rivers</w:t>
      </w:r>
      <w:r>
        <w:t>,</w:t>
      </w:r>
      <w:r w:rsidRPr="00C95F78">
        <w:t xml:space="preserve"> or </w:t>
      </w:r>
      <w:hyperlink r:id="rId121" w:tooltip="Groundwater" w:history="1">
        <w:r w:rsidRPr="00C95F78">
          <w:t>groundwater</w:t>
        </w:r>
      </w:hyperlink>
      <w:r w:rsidRPr="00C95F78">
        <w:t xml:space="preserve">. In </w:t>
      </w:r>
      <w:r>
        <w:t xml:space="preserve">recent </w:t>
      </w:r>
      <w:r w:rsidRPr="00C95F78">
        <w:t xml:space="preserve">years there are various alternative technologies/processes that can potentially reduce the energy required for removing excess salt and other minerals from the water. </w:t>
      </w:r>
      <w:r>
        <w:t>We review these alternatives, within their existing market context, to assess whether or not there is a “new” market in energy efficient systems for desalination.</w:t>
      </w:r>
    </w:p>
    <w:p w:rsidR="007B697C" w:rsidRDefault="007B697C" w:rsidP="00BB1A5E">
      <w:pPr>
        <w:autoSpaceDE w:val="0"/>
        <w:autoSpaceDN w:val="0"/>
        <w:adjustRightInd w:val="0"/>
        <w:spacing w:after="0" w:line="240" w:lineRule="auto"/>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39" w:name="_Toc263688600"/>
      <w:r>
        <w:rPr>
          <w:rFonts w:asciiTheme="minorHAnsi" w:hAnsiTheme="minorHAnsi"/>
          <w:color w:val="365F91" w:themeColor="accent1" w:themeShade="BF"/>
          <w:sz w:val="26"/>
          <w:szCs w:val="26"/>
        </w:rPr>
        <w:t>Alternative Technical and Market Solutions</w:t>
      </w:r>
      <w:bookmarkEnd w:id="139"/>
    </w:p>
    <w:p w:rsidR="007B697C" w:rsidRPr="00C95F78" w:rsidRDefault="007B697C" w:rsidP="00BB1A5E">
      <w:pPr>
        <w:autoSpaceDE w:val="0"/>
        <w:autoSpaceDN w:val="0"/>
        <w:adjustRightInd w:val="0"/>
        <w:spacing w:after="0" w:line="240" w:lineRule="auto"/>
        <w:jc w:val="both"/>
      </w:pPr>
    </w:p>
    <w:p w:rsidR="007B697C" w:rsidRPr="00C95F78" w:rsidRDefault="007B697C" w:rsidP="00BB1A5E">
      <w:pPr>
        <w:autoSpaceDE w:val="0"/>
        <w:autoSpaceDN w:val="0"/>
        <w:adjustRightInd w:val="0"/>
        <w:spacing w:after="0" w:line="240" w:lineRule="auto"/>
        <w:jc w:val="both"/>
      </w:pPr>
      <w:r>
        <w:rPr>
          <w:b/>
        </w:rPr>
        <w:t xml:space="preserve">Current Technologies: </w:t>
      </w:r>
      <w:r>
        <w:t>T</w:t>
      </w:r>
      <w:r w:rsidRPr="00C95F78">
        <w:t xml:space="preserve">he technologies </w:t>
      </w:r>
      <w:r>
        <w:t xml:space="preserve">currently </w:t>
      </w:r>
      <w:r w:rsidRPr="00C95F78">
        <w:t>used are</w:t>
      </w:r>
      <w:r>
        <w:t xml:space="preserve"> distillation or membrane processes. Desalination by distillation involves the separation of pure water at boiling temperature. It includes the following types</w:t>
      </w:r>
      <w:r w:rsidRPr="00C95F78">
        <w:t xml:space="preserve">: </w:t>
      </w:r>
    </w:p>
    <w:p w:rsidR="007B697C" w:rsidRPr="00C95F78" w:rsidRDefault="007B697C" w:rsidP="00BB1A5E">
      <w:pPr>
        <w:autoSpaceDE w:val="0"/>
        <w:autoSpaceDN w:val="0"/>
        <w:adjustRightInd w:val="0"/>
        <w:spacing w:after="0" w:line="240" w:lineRule="auto"/>
        <w:jc w:val="both"/>
      </w:pPr>
    </w:p>
    <w:p w:rsidR="007B697C" w:rsidRPr="00C95F78" w:rsidRDefault="007B697C" w:rsidP="00BB1A5E">
      <w:pPr>
        <w:pStyle w:val="ListParagraph"/>
        <w:numPr>
          <w:ilvl w:val="0"/>
          <w:numId w:val="26"/>
        </w:numPr>
        <w:autoSpaceDE w:val="0"/>
        <w:autoSpaceDN w:val="0"/>
        <w:adjustRightInd w:val="0"/>
        <w:spacing w:after="120" w:line="240" w:lineRule="auto"/>
        <w:contextualSpacing w:val="0"/>
        <w:jc w:val="both"/>
      </w:pPr>
      <w:r w:rsidRPr="00C95F78">
        <w:t>Multi-stage flash distillation: Th</w:t>
      </w:r>
      <w:r>
        <w:t>is is the dominant process used, accounting for around</w:t>
      </w:r>
      <w:r w:rsidRPr="00C95F78">
        <w:t xml:space="preserve"> 85% </w:t>
      </w:r>
      <w:r>
        <w:t xml:space="preserve">of </w:t>
      </w:r>
      <w:r w:rsidRPr="00C95F78">
        <w:t xml:space="preserve">operations worldwide. The traditional process used in these operations is </w:t>
      </w:r>
      <w:hyperlink r:id="rId122" w:tooltip="Vacuum distillation" w:history="1">
        <w:r w:rsidRPr="00C95F78">
          <w:t>vacuum distillation</w:t>
        </w:r>
      </w:hyperlink>
      <w:r>
        <w:t xml:space="preserve">, </w:t>
      </w:r>
      <w:r w:rsidRPr="00C95F78">
        <w:t xml:space="preserve">essentially the boiling of water at less than atmospheric pressure and thus </w:t>
      </w:r>
      <w:r>
        <w:t xml:space="preserve">at </w:t>
      </w:r>
      <w:r w:rsidRPr="00C95F78">
        <w:t xml:space="preserve">a much lower temperature than normal. </w:t>
      </w:r>
      <w:r>
        <w:t>Because the temperature is low, energy use is lower than it would otherwise be</w:t>
      </w:r>
      <w:r w:rsidRPr="00C95F78">
        <w:t>.</w:t>
      </w:r>
    </w:p>
    <w:p w:rsidR="007B697C" w:rsidRPr="00C95F78" w:rsidRDefault="007B697C" w:rsidP="00BB1A5E">
      <w:pPr>
        <w:pStyle w:val="ListParagraph"/>
        <w:numPr>
          <w:ilvl w:val="0"/>
          <w:numId w:val="26"/>
        </w:numPr>
        <w:autoSpaceDE w:val="0"/>
        <w:autoSpaceDN w:val="0"/>
        <w:adjustRightInd w:val="0"/>
        <w:spacing w:after="120" w:line="240" w:lineRule="auto"/>
        <w:contextualSpacing w:val="0"/>
        <w:jc w:val="both"/>
      </w:pPr>
      <w:r w:rsidRPr="00C95F78">
        <w:t xml:space="preserve">Multiple-effect evaporator: </w:t>
      </w:r>
      <w:r>
        <w:t>This uses</w:t>
      </w:r>
      <w:r w:rsidRPr="00C95F78">
        <w:t xml:space="preserve"> heat from steam to evaporate water. </w:t>
      </w:r>
      <w:r>
        <w:t>The technology involves the boiling of</w:t>
      </w:r>
      <w:r w:rsidRPr="00C95F78">
        <w:t xml:space="preserve"> water in a sequence of vessels, each held at a lower pressure than the last. This method is highly efficient, while relatively inexpensive. </w:t>
      </w:r>
    </w:p>
    <w:p w:rsidR="007B697C" w:rsidRPr="00C95F78" w:rsidRDefault="007B697C" w:rsidP="00BB1A5E">
      <w:pPr>
        <w:pStyle w:val="ListParagraph"/>
        <w:numPr>
          <w:ilvl w:val="0"/>
          <w:numId w:val="26"/>
        </w:numPr>
        <w:autoSpaceDE w:val="0"/>
        <w:autoSpaceDN w:val="0"/>
        <w:adjustRightInd w:val="0"/>
        <w:spacing w:after="120" w:line="240" w:lineRule="auto"/>
        <w:contextualSpacing w:val="0"/>
        <w:jc w:val="both"/>
      </w:pPr>
      <w:r w:rsidRPr="00C95F78">
        <w:t>Vapo</w:t>
      </w:r>
      <w:r>
        <w:t>u</w:t>
      </w:r>
      <w:r w:rsidRPr="00C95F78">
        <w:t>r compression evaporation: Evaporation method by which a blower, compressor or jet ejector is used to compress, and thus, increase the temperature of the vapo</w:t>
      </w:r>
      <w:r>
        <w:t>u</w:t>
      </w:r>
      <w:r w:rsidRPr="00C95F78">
        <w:t>r produced. It is mainly used for waste</w:t>
      </w:r>
      <w:r>
        <w:t xml:space="preserve"> </w:t>
      </w:r>
      <w:r w:rsidRPr="00C95F78">
        <w:t xml:space="preserve">water recovery. </w:t>
      </w:r>
    </w:p>
    <w:p w:rsidR="007B697C" w:rsidRPr="00C95F78" w:rsidRDefault="007B697C" w:rsidP="00BB1A5E">
      <w:pPr>
        <w:pStyle w:val="ListParagraph"/>
        <w:numPr>
          <w:ilvl w:val="0"/>
          <w:numId w:val="26"/>
        </w:numPr>
        <w:autoSpaceDE w:val="0"/>
        <w:autoSpaceDN w:val="0"/>
        <w:adjustRightInd w:val="0"/>
        <w:spacing w:after="0" w:line="240" w:lineRule="auto"/>
        <w:jc w:val="both"/>
      </w:pPr>
      <w:r w:rsidRPr="00C95F78">
        <w:t>Evaporation/condensation: Evaporation of seawater or brackish water and consecutive condensation of the generated humid air, mostly at ambient pressure. This is a widely used technology</w:t>
      </w:r>
      <w:r>
        <w:t>, but</w:t>
      </w:r>
      <w:r w:rsidRPr="00C95F78">
        <w:t xml:space="preserve"> inefficient. </w:t>
      </w:r>
    </w:p>
    <w:p w:rsidR="007B697C" w:rsidRPr="00C95F78" w:rsidRDefault="007B697C" w:rsidP="00BB1A5E">
      <w:pPr>
        <w:pStyle w:val="ListParagraph"/>
        <w:autoSpaceDE w:val="0"/>
        <w:autoSpaceDN w:val="0"/>
        <w:adjustRightInd w:val="0"/>
        <w:spacing w:after="0" w:line="240" w:lineRule="auto"/>
        <w:jc w:val="both"/>
      </w:pPr>
    </w:p>
    <w:p w:rsidR="007B697C" w:rsidRPr="00C95F78" w:rsidRDefault="007B697C" w:rsidP="00BB1A5E">
      <w:pPr>
        <w:autoSpaceDE w:val="0"/>
        <w:autoSpaceDN w:val="0"/>
        <w:adjustRightInd w:val="0"/>
        <w:spacing w:after="0" w:line="240" w:lineRule="auto"/>
        <w:jc w:val="both"/>
      </w:pPr>
      <w:r w:rsidRPr="00C95F78">
        <w:t>Membrane processes use semi-permeable membranes and pressure to separate salts from water. In the last decade, membrane proces</w:t>
      </w:r>
      <w:r>
        <w:t>ses have developed very quickly. M</w:t>
      </w:r>
      <w:r w:rsidRPr="00C95F78">
        <w:t xml:space="preserve">ost new </w:t>
      </w:r>
      <w:r>
        <w:t xml:space="preserve">desalination </w:t>
      </w:r>
      <w:r w:rsidRPr="00C95F78">
        <w:t xml:space="preserve">facilities use </w:t>
      </w:r>
      <w:hyperlink r:id="rId123" w:tooltip="Reverse osmosis" w:history="1">
        <w:r w:rsidRPr="00C95F78">
          <w:t>reverse osmosis</w:t>
        </w:r>
      </w:hyperlink>
      <w:r w:rsidRPr="00C95F78">
        <w:t xml:space="preserve"> technology. </w:t>
      </w:r>
      <w:hyperlink r:id="rId124" w:tooltip="Reverse osmosis plant" w:history="1">
        <w:r w:rsidRPr="00C95F78">
          <w:t>Reverse osmosis plant</w:t>
        </w:r>
      </w:hyperlink>
      <w:r w:rsidRPr="00C95F78">
        <w:t xml:space="preserve"> membrane systems typically use less energy than thermal distillation, </w:t>
      </w:r>
      <w:r>
        <w:t>but the process is still very</w:t>
      </w:r>
      <w:r w:rsidRPr="00C95F78">
        <w:t xml:space="preserve"> energy intensive.</w:t>
      </w:r>
    </w:p>
    <w:p w:rsidR="007B697C" w:rsidRPr="00C95F78" w:rsidRDefault="007B697C" w:rsidP="00BB1A5E">
      <w:pPr>
        <w:autoSpaceDE w:val="0"/>
        <w:autoSpaceDN w:val="0"/>
        <w:adjustRightInd w:val="0"/>
        <w:spacing w:after="0" w:line="240" w:lineRule="auto"/>
        <w:jc w:val="both"/>
      </w:pPr>
    </w:p>
    <w:p w:rsidR="007B697C" w:rsidRDefault="007B697C" w:rsidP="00BB1A5E">
      <w:pPr>
        <w:autoSpaceDE w:val="0"/>
        <w:autoSpaceDN w:val="0"/>
        <w:adjustRightInd w:val="0"/>
        <w:spacing w:after="0" w:line="240" w:lineRule="auto"/>
        <w:jc w:val="both"/>
      </w:pPr>
      <w:r>
        <w:rPr>
          <w:b/>
        </w:rPr>
        <w:t xml:space="preserve">Desalination Combined with Heat and Power Generation: </w:t>
      </w:r>
      <w:r w:rsidRPr="00C95F78">
        <w:t>Certain types of desalination processes, especially the distillation process, can be st</w:t>
      </w:r>
      <w:r>
        <w:t xml:space="preserve">ructured to take advantage of </w:t>
      </w:r>
      <w:r w:rsidRPr="00C95F78">
        <w:t xml:space="preserve">co-generation. Most of the distillation plants installed in the Middle East and North Africa </w:t>
      </w:r>
      <w:r>
        <w:t>built since the 1960s combine desalination with electric power generation. These are commonly referred to as dual purpose plants.</w:t>
      </w:r>
    </w:p>
    <w:p w:rsidR="007B697C" w:rsidRDefault="007B697C" w:rsidP="00BB1A5E">
      <w:pPr>
        <w:autoSpaceDE w:val="0"/>
        <w:autoSpaceDN w:val="0"/>
        <w:adjustRightInd w:val="0"/>
        <w:spacing w:after="0" w:line="240" w:lineRule="auto"/>
        <w:jc w:val="both"/>
      </w:pPr>
    </w:p>
    <w:p w:rsidR="007B697C" w:rsidRDefault="007B697C" w:rsidP="00BB1A5E">
      <w:pPr>
        <w:autoSpaceDE w:val="0"/>
        <w:autoSpaceDN w:val="0"/>
        <w:adjustRightInd w:val="0"/>
        <w:spacing w:after="0" w:line="240" w:lineRule="auto"/>
        <w:jc w:val="both"/>
        <w:rPr>
          <w:lang w:bidi="en-US"/>
        </w:rPr>
      </w:pPr>
      <w:r>
        <w:t>While there are obvious advantages to</w:t>
      </w:r>
      <w:r w:rsidRPr="00C95F78">
        <w:rPr>
          <w:lang w:bidi="en-US"/>
        </w:rPr>
        <w:t xml:space="preserve"> </w:t>
      </w:r>
      <w:r>
        <w:rPr>
          <w:lang w:bidi="en-US"/>
        </w:rPr>
        <w:t xml:space="preserve">co-generation, there are also disadvantages. The permanent connection of desalination with power generation means that </w:t>
      </w:r>
      <w:r w:rsidRPr="00C95F78">
        <w:rPr>
          <w:lang w:bidi="en-US"/>
        </w:rPr>
        <w:t>when the demand for electricity is reduced or when</w:t>
      </w:r>
      <w:r w:rsidRPr="00C95F78">
        <w:t xml:space="preserve"> </w:t>
      </w:r>
      <w:r w:rsidRPr="00C95F78">
        <w:rPr>
          <w:lang w:bidi="en-US"/>
        </w:rPr>
        <w:t>the turbine o</w:t>
      </w:r>
      <w:r>
        <w:rPr>
          <w:lang w:bidi="en-US"/>
        </w:rPr>
        <w:t>r generator is down for repairs, pure water production will suffer. To be economically and technically attractive, demand for water and power from the plant must be balanced. This was the case in the Mi</w:t>
      </w:r>
      <w:r w:rsidRPr="00C95F78">
        <w:rPr>
          <w:lang w:bidi="en-US"/>
        </w:rPr>
        <w:t>ddle East and</w:t>
      </w:r>
      <w:r w:rsidRPr="00C95F78">
        <w:t xml:space="preserve"> </w:t>
      </w:r>
      <w:r w:rsidRPr="00C95F78">
        <w:rPr>
          <w:lang w:bidi="en-US"/>
        </w:rPr>
        <w:t>North Africa</w:t>
      </w:r>
      <w:r>
        <w:rPr>
          <w:lang w:bidi="en-US"/>
        </w:rPr>
        <w:t>, where desalination was incorporated at an early stage in power infrastructure roll out.</w:t>
      </w:r>
    </w:p>
    <w:p w:rsidR="007B697C" w:rsidRDefault="007B697C" w:rsidP="00BB1A5E">
      <w:pPr>
        <w:autoSpaceDE w:val="0"/>
        <w:autoSpaceDN w:val="0"/>
        <w:adjustRightInd w:val="0"/>
        <w:spacing w:after="0" w:line="240" w:lineRule="auto"/>
        <w:jc w:val="both"/>
        <w:rPr>
          <w:lang w:bidi="en-US"/>
        </w:rPr>
      </w:pPr>
    </w:p>
    <w:p w:rsidR="007B697C" w:rsidRPr="00C95F78" w:rsidRDefault="007B697C" w:rsidP="00BB1A5E">
      <w:pPr>
        <w:autoSpaceDE w:val="0"/>
        <w:autoSpaceDN w:val="0"/>
        <w:adjustRightInd w:val="0"/>
        <w:spacing w:after="0" w:line="240" w:lineRule="auto"/>
        <w:jc w:val="both"/>
      </w:pPr>
      <w:r>
        <w:rPr>
          <w:lang w:bidi="en-US"/>
        </w:rPr>
        <w:t>The co-generation principle</w:t>
      </w:r>
      <w:r w:rsidRPr="00C95F78">
        <w:t xml:space="preserve"> </w:t>
      </w:r>
      <w:r w:rsidRPr="00C95F78">
        <w:rPr>
          <w:lang w:bidi="en-US"/>
        </w:rPr>
        <w:t xml:space="preserve">can </w:t>
      </w:r>
      <w:r>
        <w:rPr>
          <w:lang w:bidi="en-US"/>
        </w:rPr>
        <w:t xml:space="preserve">be used to </w:t>
      </w:r>
      <w:r w:rsidRPr="00C95F78">
        <w:rPr>
          <w:lang w:bidi="en-US"/>
        </w:rPr>
        <w:t xml:space="preserve">derive lower-cost </w:t>
      </w:r>
      <w:r>
        <w:rPr>
          <w:lang w:bidi="en-US"/>
        </w:rPr>
        <w:t>heat rather than electric power. S</w:t>
      </w:r>
      <w:r w:rsidRPr="00C95F78">
        <w:rPr>
          <w:lang w:bidi="en-US"/>
        </w:rPr>
        <w:t>team from heat recovery</w:t>
      </w:r>
      <w:r w:rsidRPr="00C95F78">
        <w:t xml:space="preserve"> </w:t>
      </w:r>
      <w:r w:rsidRPr="00C95F78">
        <w:rPr>
          <w:lang w:bidi="en-US"/>
        </w:rPr>
        <w:t xml:space="preserve">systems on gas turbine exhausts, </w:t>
      </w:r>
      <w:r>
        <w:rPr>
          <w:lang w:bidi="en-US"/>
        </w:rPr>
        <w:t>for example, can be used to drive</w:t>
      </w:r>
      <w:r w:rsidRPr="00C95F78">
        <w:t xml:space="preserve"> </w:t>
      </w:r>
      <w:r w:rsidRPr="00C95F78">
        <w:rPr>
          <w:lang w:bidi="en-US"/>
        </w:rPr>
        <w:t xml:space="preserve">industrial processes </w:t>
      </w:r>
      <w:r>
        <w:rPr>
          <w:lang w:bidi="en-US"/>
        </w:rPr>
        <w:t>or community heating</w:t>
      </w:r>
      <w:r w:rsidRPr="00C95F78">
        <w:rPr>
          <w:lang w:bidi="en-US"/>
        </w:rPr>
        <w:t>.</w:t>
      </w:r>
    </w:p>
    <w:p w:rsidR="007B697C" w:rsidRDefault="007B697C" w:rsidP="00BB1A5E">
      <w:pPr>
        <w:autoSpaceDE w:val="0"/>
        <w:autoSpaceDN w:val="0"/>
        <w:adjustRightInd w:val="0"/>
        <w:spacing w:after="0" w:line="240" w:lineRule="auto"/>
        <w:jc w:val="both"/>
      </w:pPr>
    </w:p>
    <w:p w:rsidR="007B697C" w:rsidRPr="00B94697" w:rsidRDefault="007B697C" w:rsidP="00BB1A5E">
      <w:pPr>
        <w:autoSpaceDE w:val="0"/>
        <w:autoSpaceDN w:val="0"/>
        <w:adjustRightInd w:val="0"/>
        <w:spacing w:after="0" w:line="240" w:lineRule="auto"/>
        <w:jc w:val="both"/>
      </w:pPr>
      <w:r>
        <w:rPr>
          <w:b/>
        </w:rPr>
        <w:t xml:space="preserve">Renewable and Recovered Energy Sources in Desalination: </w:t>
      </w:r>
      <w:r>
        <w:t>In an attempt to overcome the energy-hungry nature of desalination, recent technologies have focussed on using renewable energy sources rather than the existing fossil fuel-based technologies. Three renewable energy sources are being development: 1) solar, 2) geothermal, 3) water temperature gradient.</w:t>
      </w:r>
    </w:p>
    <w:p w:rsidR="007B697C" w:rsidRDefault="007B697C" w:rsidP="00BB1A5E">
      <w:pPr>
        <w:autoSpaceDE w:val="0"/>
        <w:autoSpaceDN w:val="0"/>
        <w:adjustRightInd w:val="0"/>
        <w:spacing w:after="0" w:line="240" w:lineRule="auto"/>
        <w:jc w:val="both"/>
      </w:pPr>
    </w:p>
    <w:p w:rsidR="007B697C" w:rsidRPr="00C95F78" w:rsidRDefault="007B697C" w:rsidP="00BB1A5E">
      <w:pPr>
        <w:autoSpaceDE w:val="0"/>
        <w:autoSpaceDN w:val="0"/>
        <w:adjustRightInd w:val="0"/>
        <w:spacing w:after="0" w:line="240" w:lineRule="auto"/>
        <w:jc w:val="both"/>
      </w:pPr>
      <w:r>
        <w:rPr>
          <w:b/>
        </w:rPr>
        <w:t>Solar D</w:t>
      </w:r>
      <w:r w:rsidRPr="00B94697">
        <w:rPr>
          <w:b/>
        </w:rPr>
        <w:t>esalination</w:t>
      </w:r>
      <w:r>
        <w:rPr>
          <w:b/>
        </w:rPr>
        <w:t>:</w:t>
      </w:r>
      <w:r w:rsidRPr="00C95F78">
        <w:t xml:space="preserve"> </w:t>
      </w:r>
      <w:r>
        <w:t>P</w:t>
      </w:r>
      <w:r w:rsidRPr="00C95F78">
        <w:t>laces with a shortage of potable wat</w:t>
      </w:r>
      <w:r>
        <w:t xml:space="preserve">er often have abundant sunshine. </w:t>
      </w:r>
      <w:r w:rsidRPr="00C95F78">
        <w:t xml:space="preserve">Concentrated Solar Power (CSP) </w:t>
      </w:r>
      <w:r>
        <w:t>electricity generation technology can be used to take advantage of this fact, combining</w:t>
      </w:r>
      <w:r w:rsidRPr="00C95F78">
        <w:t xml:space="preserve"> electricity </w:t>
      </w:r>
      <w:r>
        <w:t>generation with steam turbines with desalination, using the waste heat. E</w:t>
      </w:r>
      <w:r w:rsidRPr="00C95F78">
        <w:t xml:space="preserve">lectricity </w:t>
      </w:r>
      <w:r>
        <w:t>created using CSP technology can be</w:t>
      </w:r>
      <w:r w:rsidRPr="00C95F78">
        <w:t xml:space="preserve"> used to drive the compressors of a revers</w:t>
      </w:r>
      <w:r>
        <w:t>e osmosis plant, and the heat</w:t>
      </w:r>
      <w:r w:rsidRPr="00C95F78">
        <w:t xml:space="preserve"> used in a traditional multi-effects desalination plant.</w:t>
      </w:r>
    </w:p>
    <w:p w:rsidR="007B697C" w:rsidRPr="00C95F78" w:rsidRDefault="007B697C" w:rsidP="00BB1A5E">
      <w:pPr>
        <w:pStyle w:val="ListParagraph"/>
        <w:autoSpaceDE w:val="0"/>
        <w:autoSpaceDN w:val="0"/>
        <w:adjustRightInd w:val="0"/>
        <w:spacing w:after="0" w:line="240" w:lineRule="auto"/>
        <w:ind w:left="0"/>
        <w:jc w:val="both"/>
      </w:pPr>
    </w:p>
    <w:p w:rsidR="007B697C" w:rsidRPr="00C95F78" w:rsidRDefault="007B697C" w:rsidP="00BB1A5E">
      <w:pPr>
        <w:autoSpaceDE w:val="0"/>
        <w:autoSpaceDN w:val="0"/>
        <w:adjustRightInd w:val="0"/>
        <w:spacing w:after="0" w:line="240" w:lineRule="auto"/>
        <w:jc w:val="both"/>
      </w:pPr>
      <w:r w:rsidRPr="00C95F78">
        <w:t>In April 2010 IBM and Saudi Arabia's national research group announced the opening of a solar-powered desalination plant in the city of Al-Khafji. The pilot plant will supply water to about 100,000 people and pump out about 30,000 m</w:t>
      </w:r>
      <w:r w:rsidRPr="00B94697">
        <w:rPr>
          <w:vertAlign w:val="superscript"/>
        </w:rPr>
        <w:t>3</w:t>
      </w:r>
      <w:r w:rsidRPr="00C95F78">
        <w:t xml:space="preserve"> of potable drinking water per day. It will run exclusively on solar-powered electricity, and showcase two technology breakthroughs. </w:t>
      </w:r>
    </w:p>
    <w:p w:rsidR="007B697C" w:rsidRPr="00C95F78" w:rsidRDefault="007B697C" w:rsidP="00BB1A5E">
      <w:pPr>
        <w:pStyle w:val="ListParagraph"/>
        <w:autoSpaceDE w:val="0"/>
        <w:autoSpaceDN w:val="0"/>
        <w:adjustRightInd w:val="0"/>
        <w:spacing w:after="0" w:line="240" w:lineRule="auto"/>
        <w:ind w:left="0"/>
        <w:jc w:val="both"/>
      </w:pPr>
    </w:p>
    <w:p w:rsidR="007B697C" w:rsidRPr="00C95F78" w:rsidRDefault="007B697C" w:rsidP="00BB1A5E">
      <w:pPr>
        <w:autoSpaceDE w:val="0"/>
        <w:autoSpaceDN w:val="0"/>
        <w:adjustRightInd w:val="0"/>
        <w:spacing w:after="0" w:line="240" w:lineRule="auto"/>
        <w:jc w:val="both"/>
      </w:pPr>
      <w:r w:rsidRPr="00C95F78">
        <w:t xml:space="preserve">On the solar </w:t>
      </w:r>
      <w:r>
        <w:t xml:space="preserve">concentration </w:t>
      </w:r>
      <w:r w:rsidRPr="00C95F78">
        <w:t>end</w:t>
      </w:r>
      <w:r>
        <w:t xml:space="preserve"> of the system</w:t>
      </w:r>
      <w:r w:rsidRPr="00C95F78">
        <w:t>, the plant will use ultra-high concentrator photovoltaic (UHCPV)</w:t>
      </w:r>
      <w:r>
        <w:t xml:space="preserve"> cells</w:t>
      </w:r>
      <w:r w:rsidRPr="00C95F78">
        <w:t xml:space="preserve">. </w:t>
      </w:r>
      <w:r>
        <w:t>At the desalination end,</w:t>
      </w:r>
      <w:r w:rsidRPr="00C95F78">
        <w:t xml:space="preserve"> IBM's nanotechnology groups </w:t>
      </w:r>
      <w:r>
        <w:t>newly developed na</w:t>
      </w:r>
      <w:r w:rsidRPr="00C95F78">
        <w:t xml:space="preserve">nostructure polymers </w:t>
      </w:r>
      <w:r>
        <w:t xml:space="preserve">are used in </w:t>
      </w:r>
      <w:r w:rsidRPr="00C95F78">
        <w:t xml:space="preserve">nanomembranes used in </w:t>
      </w:r>
      <w:r>
        <w:t xml:space="preserve">the </w:t>
      </w:r>
      <w:r w:rsidRPr="00C95F78">
        <w:t>reverse osmosis seawater desalination</w:t>
      </w:r>
      <w:r>
        <w:t xml:space="preserve"> process</w:t>
      </w:r>
      <w:r w:rsidRPr="00C95F78">
        <w:t xml:space="preserve">. In addition to removing salt, the nanomembranes can also filter out toxins, including arsenic. The </w:t>
      </w:r>
      <w:r>
        <w:t xml:space="preserve">new </w:t>
      </w:r>
      <w:r w:rsidRPr="00C95F78">
        <w:t>nanomembrane</w:t>
      </w:r>
      <w:r>
        <w:t>s are said to use require</w:t>
      </w:r>
      <w:r w:rsidRPr="00C95F78">
        <w:t xml:space="preserve"> significantly less electricity than </w:t>
      </w:r>
      <w:r>
        <w:t>existing</w:t>
      </w:r>
      <w:r w:rsidRPr="00C95F78">
        <w:t xml:space="preserve"> high-pressure reverse-osmosis system</w:t>
      </w:r>
      <w:r>
        <w:t>s</w:t>
      </w:r>
      <w:r w:rsidRPr="00C95F78">
        <w:t>.</w:t>
      </w:r>
    </w:p>
    <w:p w:rsidR="007B697C" w:rsidRPr="00C95F78" w:rsidRDefault="007B697C" w:rsidP="00BB1A5E">
      <w:pPr>
        <w:pStyle w:val="ListParagraph"/>
        <w:autoSpaceDE w:val="0"/>
        <w:autoSpaceDN w:val="0"/>
        <w:adjustRightInd w:val="0"/>
        <w:spacing w:after="0" w:line="240" w:lineRule="auto"/>
        <w:ind w:left="0"/>
        <w:jc w:val="both"/>
      </w:pPr>
    </w:p>
    <w:p w:rsidR="007B697C" w:rsidRPr="00C95F78" w:rsidRDefault="007B697C" w:rsidP="00BB1A5E">
      <w:pPr>
        <w:autoSpaceDE w:val="0"/>
        <w:autoSpaceDN w:val="0"/>
        <w:adjustRightInd w:val="0"/>
        <w:spacing w:after="0" w:line="240" w:lineRule="auto"/>
        <w:jc w:val="both"/>
      </w:pPr>
      <w:r>
        <w:t>According to the parties involved in the Al-Khafji development, the</w:t>
      </w:r>
      <w:r w:rsidRPr="00C95F78">
        <w:t xml:space="preserve"> combi</w:t>
      </w:r>
      <w:r>
        <w:t>ned nanomembrane and UH</w:t>
      </w:r>
      <w:r w:rsidRPr="00C95F78">
        <w:t>CPV technology is on track to m</w:t>
      </w:r>
      <w:r>
        <w:t xml:space="preserve">ake desalination so inexpensive that </w:t>
      </w:r>
      <w:r w:rsidRPr="00C95F78">
        <w:t>it could in the future become economically feasible to produce water for agricultural purposes</w:t>
      </w:r>
      <w:r>
        <w:t>, not just for potable water</w:t>
      </w:r>
      <w:r w:rsidRPr="00C95F78">
        <w:t>.</w:t>
      </w:r>
    </w:p>
    <w:p w:rsidR="007B697C" w:rsidRPr="00C95F78" w:rsidRDefault="007B697C" w:rsidP="00BB1A5E">
      <w:pPr>
        <w:pStyle w:val="ListParagraph"/>
        <w:autoSpaceDE w:val="0"/>
        <w:autoSpaceDN w:val="0"/>
        <w:adjustRightInd w:val="0"/>
        <w:spacing w:after="0" w:line="240" w:lineRule="auto"/>
        <w:ind w:left="0"/>
        <w:jc w:val="both"/>
      </w:pPr>
    </w:p>
    <w:p w:rsidR="007B697C" w:rsidRPr="00C95F78" w:rsidRDefault="007B697C" w:rsidP="00BB1A5E">
      <w:pPr>
        <w:autoSpaceDE w:val="0"/>
        <w:autoSpaceDN w:val="0"/>
        <w:adjustRightInd w:val="0"/>
        <w:spacing w:after="0" w:line="240" w:lineRule="auto"/>
        <w:jc w:val="both"/>
      </w:pPr>
      <w:r w:rsidRPr="00B94697">
        <w:rPr>
          <w:b/>
        </w:rPr>
        <w:t>Geothermal Desalination</w:t>
      </w:r>
      <w:r w:rsidRPr="00C95F78">
        <w:t>:</w:t>
      </w:r>
      <w:r w:rsidRPr="00B94697">
        <w:rPr>
          <w:sz w:val="20"/>
          <w:szCs w:val="20"/>
        </w:rPr>
        <w:t xml:space="preserve"> </w:t>
      </w:r>
      <w:r w:rsidRPr="00C95F78">
        <w:t>Geothermal desalination is a proven process</w:t>
      </w:r>
      <w:r>
        <w:t xml:space="preserve">, still </w:t>
      </w:r>
      <w:r w:rsidRPr="00C95F78">
        <w:t>under development</w:t>
      </w:r>
      <w:r>
        <w:t>,</w:t>
      </w:r>
      <w:r w:rsidRPr="00C95F78">
        <w:t xml:space="preserve"> for the production of fresh water using </w:t>
      </w:r>
      <w:r>
        <w:t xml:space="preserve">geothermal </w:t>
      </w:r>
      <w:r w:rsidRPr="00C95F78">
        <w:t>heat energy. Claimed benefits of this method of desalination are that it requires less maintenance than reverse osmosis membranes and that the primary energy input is from geothermal heat, which is a source of energy with a low environmental footprint.</w:t>
      </w:r>
    </w:p>
    <w:p w:rsidR="007B697C" w:rsidRPr="00C95F78" w:rsidRDefault="007B697C" w:rsidP="00BB1A5E">
      <w:pPr>
        <w:pStyle w:val="ListParagraph"/>
        <w:autoSpaceDE w:val="0"/>
        <w:autoSpaceDN w:val="0"/>
        <w:adjustRightInd w:val="0"/>
        <w:spacing w:after="0" w:line="240" w:lineRule="auto"/>
        <w:ind w:left="0"/>
        <w:jc w:val="both"/>
      </w:pPr>
    </w:p>
    <w:p w:rsidR="007B697C" w:rsidRDefault="007B697C" w:rsidP="00BB1A5E">
      <w:pPr>
        <w:autoSpaceDE w:val="0"/>
        <w:autoSpaceDN w:val="0"/>
        <w:adjustRightInd w:val="0"/>
        <w:spacing w:after="0" w:line="240" w:lineRule="auto"/>
        <w:jc w:val="both"/>
      </w:pPr>
      <w:r w:rsidRPr="00B94697">
        <w:rPr>
          <w:b/>
        </w:rPr>
        <w:t>Low Temperature Thermal Desalination</w:t>
      </w:r>
      <w:r>
        <w:rPr>
          <w:b/>
        </w:rPr>
        <w:t xml:space="preserve"> (LTTD)</w:t>
      </w:r>
      <w:r w:rsidRPr="00C95F78">
        <w:t xml:space="preserve">: </w:t>
      </w:r>
      <w:r>
        <w:t>This process uses the</w:t>
      </w:r>
      <w:r w:rsidRPr="00C95F78">
        <w:t xml:space="preserve"> temperature gradient between two water bodies or flows to evaporate the warmer water at low pressure and condense the resultant vapo</w:t>
      </w:r>
      <w:r>
        <w:t>u</w:t>
      </w:r>
      <w:r w:rsidRPr="00C95F78">
        <w:t>r with the colder water to obtain fresh</w:t>
      </w:r>
      <w:r>
        <w:t xml:space="preserve"> </w:t>
      </w:r>
      <w:r w:rsidRPr="00C95F78">
        <w:t xml:space="preserve">water. </w:t>
      </w:r>
      <w:r>
        <w:t>It is theoretically possible to use the temperature gradient between deep and shallow water in the ocean, but to date interest has mainly been the use of this technology where a coastal thermal power plant discharges</w:t>
      </w:r>
      <w:r w:rsidRPr="00C95F78">
        <w:t xml:space="preserve"> huge amounts of condenser reject water into the nearby ocean</w:t>
      </w:r>
    </w:p>
    <w:p w:rsidR="007B697C" w:rsidRDefault="007B697C" w:rsidP="00BB1A5E">
      <w:pPr>
        <w:autoSpaceDE w:val="0"/>
        <w:autoSpaceDN w:val="0"/>
        <w:adjustRightInd w:val="0"/>
        <w:spacing w:after="0" w:line="240" w:lineRule="auto"/>
        <w:jc w:val="both"/>
      </w:pPr>
    </w:p>
    <w:p w:rsidR="007B697C" w:rsidRDefault="007B697C" w:rsidP="00BB1A5E">
      <w:pPr>
        <w:autoSpaceDE w:val="0"/>
        <w:autoSpaceDN w:val="0"/>
        <w:adjustRightInd w:val="0"/>
        <w:spacing w:after="0" w:line="240" w:lineRule="auto"/>
        <w:jc w:val="both"/>
      </w:pPr>
      <w:r>
        <w:t xml:space="preserve">The desalination itself is achieved essentially as a distillation process in an LTTD plant. </w:t>
      </w:r>
      <w:r w:rsidRPr="00C95F78">
        <w:t xml:space="preserve">The main components are the evaporation chamber, the condenser, pumps and pipelines to draw warm and cold water, and a vacuum pump to maintain the plant at sub-atmospheric pressures. </w:t>
      </w:r>
    </w:p>
    <w:p w:rsidR="007B697C" w:rsidRDefault="007B697C" w:rsidP="00BB1A5E">
      <w:pPr>
        <w:autoSpaceDE w:val="0"/>
        <w:autoSpaceDN w:val="0"/>
        <w:adjustRightInd w:val="0"/>
        <w:spacing w:after="0" w:line="240" w:lineRule="auto"/>
        <w:jc w:val="both"/>
      </w:pPr>
    </w:p>
    <w:p w:rsidR="007B697C" w:rsidRPr="00C95F78" w:rsidRDefault="007B697C" w:rsidP="00BB1A5E">
      <w:pPr>
        <w:autoSpaceDE w:val="0"/>
        <w:autoSpaceDN w:val="0"/>
        <w:adjustRightInd w:val="0"/>
        <w:spacing w:after="0" w:line="240" w:lineRule="auto"/>
        <w:jc w:val="both"/>
      </w:pPr>
      <w:r>
        <w:t>LTTD</w:t>
      </w:r>
      <w:r w:rsidRPr="00C95F78">
        <w:t xml:space="preserve"> can be implemented with a low temperature gradient of about 8°-10°C between the two water bodies</w:t>
      </w:r>
      <w:r>
        <w:t xml:space="preserve"> used</w:t>
      </w:r>
      <w:r w:rsidRPr="00C95F78">
        <w:t xml:space="preserve">. </w:t>
      </w:r>
      <w:r>
        <w:t xml:space="preserve">While use of a gradient is applied in some older flash distillation units, the ability to utilise a low temperature gradient is new to the LTTD technology. </w:t>
      </w:r>
      <w:r w:rsidRPr="00C95F78">
        <w:t xml:space="preserve">The simplicity of LTTD process also enables </w:t>
      </w:r>
      <w:r>
        <w:t>control the quality of</w:t>
      </w:r>
      <w:r w:rsidRPr="00C95F78">
        <w:t xml:space="preserve"> water </w:t>
      </w:r>
      <w:r>
        <w:t>produced, which may be drinking or boiler grade.</w:t>
      </w:r>
    </w:p>
    <w:p w:rsidR="007B697C" w:rsidRDefault="007B697C" w:rsidP="00BB1A5E">
      <w:pPr>
        <w:pStyle w:val="ListParagraph"/>
        <w:autoSpaceDE w:val="0"/>
        <w:autoSpaceDN w:val="0"/>
        <w:adjustRightInd w:val="0"/>
        <w:spacing w:after="0" w:line="240" w:lineRule="auto"/>
        <w:ind w:left="0"/>
        <w:jc w:val="both"/>
      </w:pPr>
      <w:r>
        <w:t>To date, LTTD has been used exclusively in India. The</w:t>
      </w:r>
      <w:r w:rsidRPr="00C95F78">
        <w:t xml:space="preserve"> </w:t>
      </w:r>
      <w:hyperlink r:id="rId125" w:tooltip="National Institute of Ocean Technology" w:history="1">
        <w:r w:rsidRPr="00C95F78">
          <w:t>National Institute of Ocean Technology</w:t>
        </w:r>
      </w:hyperlink>
      <w:r w:rsidRPr="00C95F78">
        <w:t xml:space="preserve"> (NIOT) </w:t>
      </w:r>
      <w:r>
        <w:t>introduced</w:t>
      </w:r>
      <w:r w:rsidRPr="00C95F78">
        <w:t xml:space="preserve"> the world's first LTTD plant in the </w:t>
      </w:r>
      <w:hyperlink r:id="rId126" w:tooltip="Lakshadweep" w:history="1">
        <w:r w:rsidRPr="00C95F78">
          <w:t>Lakshadweep</w:t>
        </w:r>
      </w:hyperlink>
      <w:r w:rsidRPr="00C95F78">
        <w:t xml:space="preserve"> islands in 200</w:t>
      </w:r>
      <w:r>
        <w:t>5. The plant has a 100,000 litre</w:t>
      </w:r>
      <w:r w:rsidRPr="00C95F78">
        <w:t xml:space="preserve">s/day capacity. In 2007, NIOT successfully opened a </w:t>
      </w:r>
      <w:r>
        <w:t xml:space="preserve">second, </w:t>
      </w:r>
      <w:r w:rsidRPr="00C95F78">
        <w:t xml:space="preserve">floating LTTD plant off the coast of </w:t>
      </w:r>
      <w:hyperlink r:id="rId127" w:tooltip="Chennai" w:history="1">
        <w:r w:rsidRPr="00C95F78">
          <w:t>Chennai</w:t>
        </w:r>
      </w:hyperlink>
      <w:r w:rsidRPr="00C95F78">
        <w:t xml:space="preserve"> wi</w:t>
      </w:r>
      <w:r>
        <w:t>th a capacity of 1 million litre</w:t>
      </w:r>
      <w:r w:rsidRPr="00C95F78">
        <w:t>s/day</w:t>
      </w:r>
      <w:r>
        <w:t xml:space="preserve">. It is </w:t>
      </w:r>
      <w:r w:rsidRPr="00C95F78">
        <w:t>currently constructing a similar plant wit</w:t>
      </w:r>
      <w:r>
        <w:t>h a capacity of 10 million litre</w:t>
      </w:r>
      <w:r w:rsidRPr="00C95F78">
        <w:t>s/day.</w:t>
      </w:r>
    </w:p>
    <w:p w:rsidR="007B697C" w:rsidRDefault="007B697C" w:rsidP="00BB1A5E">
      <w:pPr>
        <w:pStyle w:val="ListParagraph"/>
        <w:autoSpaceDE w:val="0"/>
        <w:autoSpaceDN w:val="0"/>
        <w:adjustRightInd w:val="0"/>
        <w:spacing w:after="0" w:line="240" w:lineRule="auto"/>
        <w:ind w:left="0"/>
        <w:jc w:val="both"/>
      </w:pPr>
    </w:p>
    <w:p w:rsidR="007B697C" w:rsidRPr="00D61DF2" w:rsidRDefault="007B697C" w:rsidP="00BB1A5E">
      <w:pPr>
        <w:autoSpaceDE w:val="0"/>
        <w:autoSpaceDN w:val="0"/>
        <w:adjustRightInd w:val="0"/>
        <w:spacing w:after="0" w:line="240" w:lineRule="auto"/>
        <w:jc w:val="both"/>
        <w:rPr>
          <w:lang w:val="en-US" w:bidi="en-US"/>
        </w:rPr>
      </w:pPr>
      <w:r>
        <w:rPr>
          <w:b/>
        </w:rPr>
        <w:t xml:space="preserve">Other Processes in Development: </w:t>
      </w:r>
      <w:r>
        <w:t xml:space="preserve">While not using renewable or recovered energy sources, the </w:t>
      </w:r>
      <w:r w:rsidRPr="0035329F">
        <w:t>Passarell Process</w:t>
      </w:r>
      <w:r>
        <w:t xml:space="preserve"> offers a new energy efficient solution as well.</w:t>
      </w:r>
      <w:r w:rsidRPr="00C95F78">
        <w:t xml:space="preserve"> This is an Accelerated Distillation-Ad</w:t>
      </w:r>
      <w:r>
        <w:t>vanced Vapour Compression technology</w:t>
      </w:r>
      <w:r w:rsidRPr="00C95F78">
        <w:t xml:space="preserve"> for the conversion of polluted water, seawater, or brackish bore</w:t>
      </w:r>
      <w:r>
        <w:t xml:space="preserve"> </w:t>
      </w:r>
      <w:r w:rsidRPr="00C95F78">
        <w:t>water, into pure potable water.</w:t>
      </w:r>
      <w:r>
        <w:t xml:space="preserve"> As well as comparatively low energy consumption, this process allows pure salt recovery (providing an additional income stream), is readily </w:t>
      </w:r>
      <w:r w:rsidR="0074178D">
        <w:t>scalable</w:t>
      </w:r>
      <w:r>
        <w:t>, low maintenance and non-polluting.</w:t>
      </w:r>
      <w:r w:rsidRPr="00C95F78">
        <w:t xml:space="preserve"> </w:t>
      </w:r>
      <w:r w:rsidRPr="00C95F78">
        <w:rPr>
          <w:rFonts w:eastAsia="Times New Roman" w:cs="Times New Roman"/>
          <w:noProof/>
          <w:color w:val="080000"/>
          <w:sz w:val="24"/>
          <w:szCs w:val="24"/>
          <w:lang w:val="en-US"/>
        </w:rPr>
        <w:drawing>
          <wp:inline distT="0" distB="0" distL="0" distR="0">
            <wp:extent cx="6985" cy="156845"/>
            <wp:effectExtent l="0" t="0" r="0" b="0"/>
            <wp:docPr id="20" name="Picture 2" descr="http://passarell-desalination-australia.com/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sarell-desalination-australia.com/1x1.gif"/>
                    <pic:cNvPicPr>
                      <a:picLocks noChangeAspect="1" noChangeArrowheads="1"/>
                    </pic:cNvPicPr>
                  </pic:nvPicPr>
                  <pic:blipFill>
                    <a:blip r:embed="rId128"/>
                    <a:srcRect/>
                    <a:stretch>
                      <a:fillRect/>
                    </a:stretch>
                  </pic:blipFill>
                  <pic:spPr bwMode="auto">
                    <a:xfrm>
                      <a:off x="0" y="0"/>
                      <a:ext cx="6985" cy="156845"/>
                    </a:xfrm>
                    <a:prstGeom prst="rect">
                      <a:avLst/>
                    </a:prstGeom>
                    <a:noFill/>
                    <a:ln w="9525">
                      <a:noFill/>
                      <a:miter lim="800000"/>
                      <a:headEnd/>
                      <a:tailEnd/>
                    </a:ln>
                  </pic:spPr>
                </pic:pic>
              </a:graphicData>
            </a:graphic>
          </wp:inline>
        </w:drawing>
      </w:r>
    </w:p>
    <w:p w:rsidR="007B697C" w:rsidRPr="00C95F78" w:rsidRDefault="007B697C" w:rsidP="00BB1A5E">
      <w:pPr>
        <w:spacing w:after="0" w:line="240" w:lineRule="auto"/>
        <w:contextualSpacing/>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40" w:name="_Toc263688601"/>
      <w:r>
        <w:rPr>
          <w:rFonts w:asciiTheme="minorHAnsi" w:hAnsiTheme="minorHAnsi"/>
          <w:color w:val="365F91" w:themeColor="accent1" w:themeShade="BF"/>
          <w:sz w:val="26"/>
          <w:szCs w:val="26"/>
        </w:rPr>
        <w:t>Market Forecasts by Sector</w:t>
      </w:r>
      <w:bookmarkEnd w:id="140"/>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Water may seem to be everywhere, but a rising portion of the world's population is short of potable water. The problem is getting worse as populations grow, and more urbanised. Recent statistics show that global water consumption has been twice that of population growth, and meeting this demand has become a key environmental and economic impediment facing many countries. </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rsidRPr="00AB5FAD">
        <w:t>With an inverse proportion between the rapidly increasing population and decreasing water availability, desalination will likely continue to gain momentum. As new technologies are developed and implemented, desalination will become a viable option for more communities worldwide as a means to maintain or expand water supplies. Aging infrastructure in developed countries and the emergence of newer economies such as Latin America, Africa and Asia-Pacific should continue to boost the overall desalination market over the next several decades.</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Desalination represents an effective solution for addressing multiple environmental issues, including potential fresh water shortages, global warming, desertisation and preserving the environment.</w:t>
      </w:r>
      <w:r>
        <w:br/>
      </w:r>
    </w:p>
    <w:p w:rsidR="007B697C" w:rsidRPr="00C95F78" w:rsidRDefault="007B697C" w:rsidP="00621010">
      <w:pPr>
        <w:pStyle w:val="Caption"/>
        <w:spacing w:after="0"/>
        <w:ind w:left="567"/>
        <w:contextualSpacing/>
        <w:jc w:val="center"/>
        <w:rPr>
          <w:sz w:val="28"/>
          <w:szCs w:val="28"/>
        </w:rPr>
      </w:pPr>
      <w:bookmarkStart w:id="141" w:name="_Toc26367173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77</w:t>
      </w:r>
      <w:r w:rsidR="00D50FDC" w:rsidRPr="00C95F78">
        <w:rPr>
          <w:sz w:val="28"/>
          <w:szCs w:val="28"/>
        </w:rPr>
        <w:fldChar w:fldCharType="end"/>
      </w:r>
      <w:r w:rsidRPr="00C95F78">
        <w:rPr>
          <w:sz w:val="28"/>
          <w:szCs w:val="28"/>
        </w:rPr>
        <w:t>:</w:t>
      </w:r>
      <w:r>
        <w:rPr>
          <w:sz w:val="28"/>
          <w:szCs w:val="28"/>
        </w:rPr>
        <w:t xml:space="preserve"> The Underlying Dynamics for Desalination</w:t>
      </w:r>
      <w:r>
        <w:rPr>
          <w:rStyle w:val="FootnoteReference"/>
          <w:sz w:val="28"/>
          <w:szCs w:val="28"/>
        </w:rPr>
        <w:footnoteReference w:id="20"/>
      </w:r>
      <w:bookmarkEnd w:id="141"/>
    </w:p>
    <w:p w:rsidR="007B697C" w:rsidRDefault="007B697C" w:rsidP="00621010">
      <w:pPr>
        <w:spacing w:after="0" w:line="240" w:lineRule="auto"/>
        <w:contextualSpacing/>
        <w:jc w:val="center"/>
      </w:pPr>
      <w:r>
        <w:rPr>
          <w:noProof/>
          <w:lang w:val="en-US"/>
        </w:rPr>
        <w:drawing>
          <wp:inline distT="0" distB="0" distL="0" distR="0">
            <wp:extent cx="5848734" cy="3241964"/>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srcRect l="-5843"/>
                    <a:stretch>
                      <a:fillRect/>
                    </a:stretch>
                  </pic:blipFill>
                  <pic:spPr bwMode="auto">
                    <a:xfrm>
                      <a:off x="0" y="0"/>
                      <a:ext cx="5848734" cy="3241964"/>
                    </a:xfrm>
                    <a:prstGeom prst="rect">
                      <a:avLst/>
                    </a:prstGeom>
                    <a:noFill/>
                  </pic:spPr>
                </pic:pic>
              </a:graphicData>
            </a:graphic>
          </wp:inline>
        </w:drawing>
      </w:r>
    </w:p>
    <w:p w:rsidR="007B697C" w:rsidRDefault="007B697C" w:rsidP="00BB1A5E">
      <w:pPr>
        <w:spacing w:after="0" w:line="240" w:lineRule="auto"/>
        <w:contextualSpacing/>
        <w:jc w:val="both"/>
      </w:pPr>
      <w:r w:rsidRPr="00D95D9A">
        <w:t>According to recent statistics from the International Desalination Association, more than 13,000</w:t>
      </w:r>
      <w:r>
        <w:t xml:space="preserve"> </w:t>
      </w:r>
      <w:r w:rsidRPr="00D95D9A">
        <w:t>desalination plants account for an i</w:t>
      </w:r>
      <w:r>
        <w:t xml:space="preserve">nstalled capacity of 52 million </w:t>
      </w:r>
      <w:r w:rsidRPr="00D95D9A">
        <w:t>m</w:t>
      </w:r>
      <w:r w:rsidRPr="00EC1F44">
        <w:rPr>
          <w:vertAlign w:val="superscript"/>
        </w:rPr>
        <w:t>3</w:t>
      </w:r>
      <w:r w:rsidRPr="00D95D9A">
        <w:t>/day</w:t>
      </w:r>
      <w:r>
        <w:t xml:space="preserve"> (2008). Geographically, the Middle East is the dominant market, accounting for more than half of the installed capacity. Europe and North America are significant markets, with around 10% of installed capacity. The big potential lies with the huge populations of China and India, but as yet the installed capacity in both is quite limited.</w:t>
      </w:r>
    </w:p>
    <w:p w:rsidR="007B697C" w:rsidRDefault="007B697C" w:rsidP="00BB1A5E">
      <w:pPr>
        <w:spacing w:after="0" w:line="240" w:lineRule="auto"/>
        <w:contextualSpacing/>
        <w:jc w:val="both"/>
      </w:pPr>
    </w:p>
    <w:p w:rsidR="00FB195D" w:rsidRDefault="00FB195D" w:rsidP="00BB1A5E">
      <w:pPr>
        <w:spacing w:after="0" w:line="240" w:lineRule="auto"/>
        <w:contextualSpacing/>
        <w:jc w:val="both"/>
      </w:pPr>
    </w:p>
    <w:p w:rsidR="007B697C" w:rsidRDefault="007B697C" w:rsidP="00621010">
      <w:pPr>
        <w:pStyle w:val="Caption"/>
        <w:spacing w:after="0"/>
        <w:ind w:left="567"/>
        <w:contextualSpacing/>
        <w:jc w:val="center"/>
        <w:rPr>
          <w:sz w:val="28"/>
          <w:szCs w:val="28"/>
        </w:rPr>
      </w:pPr>
      <w:bookmarkStart w:id="142" w:name="_Toc26367173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78</w:t>
      </w:r>
      <w:r w:rsidR="00D50FDC" w:rsidRPr="00C95F78">
        <w:rPr>
          <w:sz w:val="28"/>
          <w:szCs w:val="28"/>
        </w:rPr>
        <w:fldChar w:fldCharType="end"/>
      </w:r>
      <w:r w:rsidRPr="00C95F78">
        <w:rPr>
          <w:sz w:val="28"/>
          <w:szCs w:val="28"/>
        </w:rPr>
        <w:t>:</w:t>
      </w:r>
      <w:r w:rsidR="00C37C8A">
        <w:rPr>
          <w:sz w:val="28"/>
          <w:szCs w:val="28"/>
        </w:rPr>
        <w:t xml:space="preserve"> </w:t>
      </w:r>
      <w:r>
        <w:rPr>
          <w:sz w:val="28"/>
          <w:szCs w:val="28"/>
        </w:rPr>
        <w:t>Installed Desalination Capacity by Technology</w:t>
      </w:r>
      <w:r>
        <w:rPr>
          <w:rStyle w:val="FootnoteReference"/>
          <w:sz w:val="28"/>
          <w:szCs w:val="28"/>
        </w:rPr>
        <w:footnoteReference w:id="21"/>
      </w:r>
      <w:bookmarkEnd w:id="142"/>
    </w:p>
    <w:p w:rsidR="007B697C" w:rsidRPr="008B5C5F" w:rsidRDefault="007B697C" w:rsidP="00BB1A5E">
      <w:pPr>
        <w:spacing w:line="240" w:lineRule="auto"/>
        <w:jc w:val="both"/>
      </w:pPr>
    </w:p>
    <w:p w:rsidR="007B697C" w:rsidRDefault="007B697C" w:rsidP="00BB1A5E">
      <w:pPr>
        <w:spacing w:after="0" w:line="240" w:lineRule="auto"/>
        <w:ind w:left="1418"/>
        <w:contextualSpacing/>
        <w:jc w:val="both"/>
      </w:pPr>
      <w:r>
        <w:rPr>
          <w:noProof/>
          <w:lang w:val="en-US"/>
        </w:rPr>
        <w:drawing>
          <wp:inline distT="0" distB="0" distL="0" distR="0">
            <wp:extent cx="4239260" cy="2918878"/>
            <wp:effectExtent l="19050" t="0" r="889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t="1294" b="11649"/>
                    <a:stretch>
                      <a:fillRect/>
                    </a:stretch>
                  </pic:blipFill>
                  <pic:spPr bwMode="auto">
                    <a:xfrm>
                      <a:off x="0" y="0"/>
                      <a:ext cx="4239260" cy="2918878"/>
                    </a:xfrm>
                    <a:prstGeom prst="rect">
                      <a:avLst/>
                    </a:prstGeom>
                    <a:noFill/>
                  </pic:spPr>
                </pic:pic>
              </a:graphicData>
            </a:graphic>
          </wp:inline>
        </w:drawing>
      </w:r>
    </w:p>
    <w:p w:rsidR="00FB195D" w:rsidRDefault="00FB195D" w:rsidP="00BB1A5E">
      <w:pPr>
        <w:spacing w:after="0" w:line="240" w:lineRule="auto"/>
        <w:contextualSpacing/>
        <w:jc w:val="both"/>
      </w:pPr>
    </w:p>
    <w:p w:rsidR="00FB195D" w:rsidRDefault="00FB195D" w:rsidP="00BB1A5E">
      <w:pPr>
        <w:spacing w:after="0" w:line="240" w:lineRule="auto"/>
        <w:contextualSpacing/>
        <w:jc w:val="both"/>
      </w:pPr>
    </w:p>
    <w:p w:rsidR="007B697C" w:rsidRDefault="007B697C" w:rsidP="00BB1A5E">
      <w:pPr>
        <w:spacing w:after="0" w:line="240" w:lineRule="auto"/>
        <w:contextualSpacing/>
        <w:jc w:val="both"/>
      </w:pPr>
      <w:r>
        <w:t>By technology, various forms of distillation process have the greater share of installed capacity. This is the dominant technology used in the Middle East, hence its relative importance. Membrane process seawater desalination, nearly all reverse osmosis process, accounted for 44% of installed capacity in 2002, and is thought to have increased to around 54% today. Its share is expected to achieve 60% share by 2015</w:t>
      </w:r>
      <w:r>
        <w:rPr>
          <w:rStyle w:val="FootnoteReference"/>
        </w:rPr>
        <w:footnoteReference w:id="22"/>
      </w:r>
      <w:r w:rsidR="008D0370">
        <w:t>.</w:t>
      </w:r>
      <w:r>
        <w:t>The increase in share of reverse osmosis technology relates partly to the shift in focus of the market away from the Middle East but, even here, new plants tend to use this technology rather than distillation.</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For now, the Middle East remains the largest market for desalination. Very rapid growth in other world areas, especially China and India, will decrease the relative importance of this market in coming years. </w:t>
      </w:r>
      <w:r w:rsidR="006774FB">
        <w:t>Asia-Pacific in</w:t>
      </w:r>
      <w:r>
        <w:t xml:space="preserve"> general is expected to experience the highest growth rate, aided by rapidly developing economies, urbanisation and population growth. </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With environmental deterioration expected in the mature markets of Europe and North America, however, governments are likely to look for new fresh water sources. Degradation of existing water infrastructures and rapidly depleting groundwater will mean steady growth in these markets in coming years. In Europe, Spain is a hotspot, following a drought rec</w:t>
      </w:r>
      <w:r w:rsidR="006774FB">
        <w:t>orded in the 2004/05 water year.</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Estimates of global market size vary. Looking just at the equipment supply portion of the desalination market (accounting for about 45% of the total</w:t>
      </w:r>
      <w:r w:rsidR="006774FB">
        <w:t>)</w:t>
      </w:r>
      <w:r>
        <w:t>, we estimate a market size in 2010 of US$6 billion. Forecasts of the rate of growth of this market range from 10% p.a. to 15% p.a. We take a middle growth estimate of 12% p.a.</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The renewables and waste heat based technologies referred to above account for a relatively small portion of the overall market. The Abu Dhabi CSP plant, for example, accounts for only 5% of the of 52 million </w:t>
      </w:r>
      <w:r w:rsidRPr="00D95D9A">
        <w:t>m3/day</w:t>
      </w:r>
      <w:r>
        <w:t xml:space="preserve"> capacity likely to be installed in any one year. Though much larger units are planned, the largest LDDT plant is only one-thirtieth of the size of the Abu Dhabi units. As yet there are no geothermal-based units. </w:t>
      </w:r>
    </w:p>
    <w:p w:rsidR="007B697C" w:rsidRDefault="007B697C" w:rsidP="00BB1A5E">
      <w:pPr>
        <w:spacing w:after="0" w:line="240" w:lineRule="auto"/>
        <w:contextualSpacing/>
        <w:jc w:val="both"/>
      </w:pPr>
    </w:p>
    <w:p w:rsidR="00FB195D" w:rsidRDefault="00FB195D" w:rsidP="00BB1A5E">
      <w:pPr>
        <w:spacing w:after="0" w:line="240" w:lineRule="auto"/>
        <w:contextualSpacing/>
        <w:jc w:val="both"/>
      </w:pPr>
    </w:p>
    <w:p w:rsidR="007B697C" w:rsidRDefault="007B697C" w:rsidP="00621010">
      <w:pPr>
        <w:pStyle w:val="Caption"/>
        <w:spacing w:after="0"/>
        <w:ind w:left="567"/>
        <w:contextualSpacing/>
        <w:jc w:val="center"/>
        <w:rPr>
          <w:sz w:val="28"/>
          <w:szCs w:val="28"/>
        </w:rPr>
      </w:pPr>
      <w:bookmarkStart w:id="143" w:name="_Ref263336639"/>
      <w:bookmarkStart w:id="144" w:name="_Toc26367173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79</w:t>
      </w:r>
      <w:r w:rsidR="00D50FDC" w:rsidRPr="00C95F78">
        <w:rPr>
          <w:sz w:val="28"/>
          <w:szCs w:val="28"/>
        </w:rPr>
        <w:fldChar w:fldCharType="end"/>
      </w:r>
      <w:bookmarkEnd w:id="143"/>
      <w:r w:rsidRPr="00C95F78">
        <w:rPr>
          <w:sz w:val="28"/>
          <w:szCs w:val="28"/>
        </w:rPr>
        <w:t>:</w:t>
      </w:r>
      <w:r>
        <w:rPr>
          <w:sz w:val="28"/>
          <w:szCs w:val="28"/>
        </w:rPr>
        <w:t xml:space="preserve"> Forecast Desalination Equipment Market</w:t>
      </w:r>
      <w:bookmarkEnd w:id="144"/>
    </w:p>
    <w:p w:rsidR="00621010" w:rsidRPr="00621010" w:rsidRDefault="00621010" w:rsidP="00621010">
      <w:pPr>
        <w:rPr>
          <w:sz w:val="2"/>
          <w:szCs w:val="2"/>
        </w:rPr>
      </w:pPr>
    </w:p>
    <w:p w:rsidR="007B697C" w:rsidRDefault="007B697C" w:rsidP="00BB1A5E">
      <w:pPr>
        <w:spacing w:after="0" w:line="240" w:lineRule="auto"/>
        <w:contextualSpacing/>
        <w:jc w:val="both"/>
      </w:pPr>
      <w:r w:rsidRPr="008402DA">
        <w:rPr>
          <w:noProof/>
          <w:lang w:val="en-US"/>
        </w:rPr>
        <w:drawing>
          <wp:inline distT="0" distB="0" distL="0" distR="0">
            <wp:extent cx="5831840" cy="6449549"/>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5831840" cy="6449549"/>
                    </a:xfrm>
                    <a:prstGeom prst="rect">
                      <a:avLst/>
                    </a:prstGeom>
                    <a:noFill/>
                    <a:ln w="9525">
                      <a:noFill/>
                      <a:miter lim="800000"/>
                      <a:headEnd/>
                      <a:tailEnd/>
                    </a:ln>
                  </pic:spPr>
                </pic:pic>
              </a:graphicData>
            </a:graphic>
          </wp:inline>
        </w:drawing>
      </w:r>
    </w:p>
    <w:p w:rsidR="00FB195D" w:rsidRPr="002611DC" w:rsidRDefault="00FB195D" w:rsidP="00BB1A5E">
      <w:pPr>
        <w:spacing w:after="0" w:line="240" w:lineRule="auto"/>
        <w:contextualSpacing/>
        <w:jc w:val="both"/>
      </w:pPr>
      <w:r>
        <w:t xml:space="preserve">Where the alternative energy sourcing is used, the desalination process itself will be based either on reverse osmosis (CSP and geothermal) or distillation (LDDT). Our forecast for the alternative technologies market is presented alongside our forecast of the total desalination market in </w:t>
      </w:r>
      <w:r w:rsidR="003C7AEB">
        <w:fldChar w:fldCharType="begin"/>
      </w:r>
      <w:r w:rsidR="003C7AEB">
        <w:instrText xml:space="preserve"> REF _Ref263336639 \h  \* MERGEFORMAT </w:instrText>
      </w:r>
      <w:r w:rsidR="003C7AEB">
        <w:fldChar w:fldCharType="separate"/>
      </w:r>
      <w:r w:rsidR="0005759A" w:rsidRPr="0005759A">
        <w:t xml:space="preserve">Figure </w:t>
      </w:r>
      <w:r w:rsidR="0005759A" w:rsidRPr="0005759A">
        <w:rPr>
          <w:noProof/>
        </w:rPr>
        <w:t>79</w:t>
      </w:r>
      <w:r w:rsidR="003C7AEB">
        <w:fldChar w:fldCharType="end"/>
      </w:r>
      <w:r w:rsidRPr="002611DC">
        <w:t>.</w:t>
      </w:r>
    </w:p>
    <w:p w:rsidR="00FB195D" w:rsidRDefault="00FB195D" w:rsidP="00BB1A5E">
      <w:pPr>
        <w:spacing w:after="0" w:line="240" w:lineRule="auto"/>
        <w:contextualSpacing/>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45" w:name="_Toc263688602"/>
      <w:r>
        <w:rPr>
          <w:rFonts w:asciiTheme="minorHAnsi" w:hAnsiTheme="minorHAnsi"/>
          <w:color w:val="365F91" w:themeColor="accent1" w:themeShade="BF"/>
          <w:sz w:val="26"/>
          <w:szCs w:val="26"/>
        </w:rPr>
        <w:t>The Impact on Copper</w:t>
      </w:r>
      <w:bookmarkEnd w:id="145"/>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The copper content of desalination can be huge. It is found mainly in two of the main parts of the desalination system, the evaporator and the pumps. The evaporator is comprised mainly of tubing, while the pumps systems contain winding wire, mechanical and housing parts. There is also a significant use of energy cable in a desalination unit. Where copper alloys are used, by far the greater amount of copper is used in the evaporator, although use in pumps and related electrical equipment is significant.</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The choice of desalination technology is highly significant for copper. Copper tends to be used in evaporators using the thermal (distillation) process, not in reverse osmosis. As a relatively small consolation, reverse osmosis tends to require higher pump content.</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Over time, copper has lost share in evaporators. For the less demanding environment of reverse osmosis units, stainless steel is usually, but not always, the material of choice. Copper has lost out in the shift of the market to reverse osmosis, which accounts for over 70% of new capacity installation today. </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Where the distillation process is employed, copper is used mostly in the form of copper nickel alloys. These are usually 90/10 and 70/30 alloys, some with manganese and iron. Even in this market, copper has lost share to titanium.</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For pumps and electrical systems, the outlook for copper is more positive. </w:t>
      </w:r>
      <w:r w:rsidRPr="004F0D6B">
        <w:t>The key components t</w:t>
      </w:r>
      <w:r>
        <w:t>hat comprise the heart of any reverse osmosis</w:t>
      </w:r>
      <w:r w:rsidRPr="004F0D6B">
        <w:t xml:space="preserve"> system are the seawater intake pump</w:t>
      </w:r>
      <w:r>
        <w:t>, high pressure feed pump and reverse osmosis</w:t>
      </w:r>
      <w:r w:rsidRPr="004F0D6B">
        <w:t xml:space="preserve"> membrane. </w:t>
      </w:r>
      <w:r>
        <w:t>The two main pumps required here are now being supplemented by</w:t>
      </w:r>
      <w:r w:rsidRPr="004F0D6B">
        <w:t xml:space="preserve"> auxiliary pumps</w:t>
      </w:r>
      <w:r>
        <w:t>,</w:t>
      </w:r>
      <w:r w:rsidRPr="004F0D6B">
        <w:t xml:space="preserve"> used for seawater pre</w:t>
      </w:r>
      <w:r>
        <w:t>-</w:t>
      </w:r>
      <w:r w:rsidRPr="004F0D6B">
        <w:t>treatment</w:t>
      </w:r>
      <w:r>
        <w:t>. These additional pumps are designed to extend</w:t>
      </w:r>
      <w:r w:rsidRPr="004F0D6B">
        <w:t xml:space="preserve"> membrane life and </w:t>
      </w:r>
      <w:r>
        <w:t>improve the quality of the potable water produced</w:t>
      </w:r>
      <w:r w:rsidRPr="004F0D6B">
        <w:t>.</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Pump technology has not been static. </w:t>
      </w:r>
      <w:r w:rsidRPr="00D95D9A">
        <w:t xml:space="preserve">Replacing reverse running pumps with pelton turbines and then with pressure exchange devices to recover energy from the brine has brought significant </w:t>
      </w:r>
      <w:r>
        <w:t>efficiency improvements to the pumping system (from around 70% to 95% efficiency)</w:t>
      </w:r>
      <w:r w:rsidRPr="00D95D9A">
        <w:t xml:space="preserve">. </w:t>
      </w:r>
      <w:r>
        <w:t xml:space="preserve">Also, </w:t>
      </w:r>
      <w:r w:rsidRPr="00AB5FAD">
        <w:t>pump manufacturer</w:t>
      </w:r>
      <w:r>
        <w:t>s increasingly have to use higher grade materials due to greater water salinity.</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Copper is used for the operating electrical components of the pumping system. In addition, the pump impeller and shaft may be of nickel copper, while pump casing of nickel aluminium bronze is a favoured option.</w:t>
      </w:r>
    </w:p>
    <w:p w:rsidR="007B697C" w:rsidRDefault="007B697C" w:rsidP="00BB1A5E">
      <w:pPr>
        <w:spacing w:after="0" w:line="240" w:lineRule="auto"/>
        <w:contextualSpacing/>
        <w:jc w:val="both"/>
      </w:pPr>
    </w:p>
    <w:p w:rsidR="007B697C" w:rsidRDefault="007B697C" w:rsidP="00BB1A5E">
      <w:pPr>
        <w:spacing w:after="0" w:line="240" w:lineRule="auto"/>
        <w:contextualSpacing/>
        <w:jc w:val="both"/>
      </w:pPr>
      <w:r>
        <w:t xml:space="preserve">Our forecasts of copper use in desalination, split by technology and application, are given in </w:t>
      </w:r>
      <w:r w:rsidR="006258F9">
        <w:t>Figure 80.</w:t>
      </w:r>
    </w:p>
    <w:p w:rsidR="00FB195D" w:rsidRDefault="00FB195D" w:rsidP="00BB1A5E">
      <w:pPr>
        <w:spacing w:line="240" w:lineRule="auto"/>
        <w:jc w:val="both"/>
        <w:rPr>
          <w:b/>
          <w:bCs/>
          <w:color w:val="4F81BD" w:themeColor="accent1"/>
          <w:sz w:val="28"/>
          <w:szCs w:val="28"/>
        </w:rPr>
      </w:pPr>
      <w:bookmarkStart w:id="146" w:name="_Ref263338303"/>
      <w:r>
        <w:rPr>
          <w:sz w:val="28"/>
          <w:szCs w:val="28"/>
        </w:rPr>
        <w:br w:type="page"/>
      </w:r>
    </w:p>
    <w:p w:rsidR="007B697C" w:rsidRDefault="007B697C" w:rsidP="00621010">
      <w:pPr>
        <w:pStyle w:val="Caption"/>
        <w:spacing w:after="120"/>
        <w:ind w:left="567"/>
        <w:contextualSpacing/>
        <w:jc w:val="center"/>
        <w:rPr>
          <w:sz w:val="28"/>
          <w:szCs w:val="28"/>
        </w:rPr>
      </w:pPr>
      <w:bookmarkStart w:id="147" w:name="_Toc26367173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80</w:t>
      </w:r>
      <w:r w:rsidR="00D50FDC" w:rsidRPr="00C95F78">
        <w:rPr>
          <w:sz w:val="28"/>
          <w:szCs w:val="28"/>
        </w:rPr>
        <w:fldChar w:fldCharType="end"/>
      </w:r>
      <w:bookmarkEnd w:id="146"/>
      <w:r w:rsidRPr="00C95F78">
        <w:rPr>
          <w:sz w:val="28"/>
          <w:szCs w:val="28"/>
        </w:rPr>
        <w:t>:</w:t>
      </w:r>
      <w:r>
        <w:rPr>
          <w:sz w:val="28"/>
          <w:szCs w:val="28"/>
        </w:rPr>
        <w:t xml:space="preserve"> Forecast Copper Use in Desalination (kt Cu)</w:t>
      </w:r>
      <w:bookmarkEnd w:id="147"/>
    </w:p>
    <w:p w:rsidR="007B697C" w:rsidRDefault="007B697C" w:rsidP="00BB1A5E">
      <w:pPr>
        <w:spacing w:after="0" w:line="240" w:lineRule="auto"/>
        <w:contextualSpacing/>
        <w:jc w:val="both"/>
      </w:pPr>
      <w:r w:rsidRPr="008402DA">
        <w:rPr>
          <w:noProof/>
          <w:lang w:val="en-US"/>
        </w:rPr>
        <w:drawing>
          <wp:inline distT="0" distB="0" distL="0" distR="0">
            <wp:extent cx="5831840" cy="658502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srcRect/>
                    <a:stretch>
                      <a:fillRect/>
                    </a:stretch>
                  </pic:blipFill>
                  <pic:spPr bwMode="auto">
                    <a:xfrm>
                      <a:off x="0" y="0"/>
                      <a:ext cx="5831840" cy="6585020"/>
                    </a:xfrm>
                    <a:prstGeom prst="rect">
                      <a:avLst/>
                    </a:prstGeom>
                    <a:noFill/>
                    <a:ln w="9525">
                      <a:noFill/>
                      <a:miter lim="800000"/>
                      <a:headEnd/>
                      <a:tailEnd/>
                    </a:ln>
                  </pic:spPr>
                </pic:pic>
              </a:graphicData>
            </a:graphic>
          </wp:inline>
        </w:drawing>
      </w:r>
    </w:p>
    <w:p w:rsidR="007B697C" w:rsidRDefault="007B697C" w:rsidP="00BB1A5E">
      <w:pPr>
        <w:spacing w:after="0" w:line="240" w:lineRule="auto"/>
        <w:contextualSpacing/>
        <w:jc w:val="both"/>
      </w:pPr>
    </w:p>
    <w:p w:rsidR="00D13525" w:rsidRDefault="00D13525" w:rsidP="00BB1A5E">
      <w:pPr>
        <w:spacing w:after="0" w:line="240" w:lineRule="auto"/>
        <w:contextualSpacing/>
        <w:jc w:val="both"/>
      </w:pPr>
    </w:p>
    <w:p w:rsidR="00D13525" w:rsidRDefault="00D13525" w:rsidP="00BB1A5E">
      <w:pPr>
        <w:spacing w:line="240" w:lineRule="auto"/>
        <w:jc w:val="both"/>
      </w:pPr>
      <w:r>
        <w:br w:type="page"/>
      </w:r>
    </w:p>
    <w:p w:rsidR="00D13525" w:rsidRPr="00C95F78" w:rsidRDefault="00D13525"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48" w:name="_Toc263688603"/>
      <w:r>
        <w:rPr>
          <w:rFonts w:asciiTheme="minorHAnsi" w:hAnsiTheme="minorHAnsi"/>
          <w:color w:val="365F91" w:themeColor="accent1" w:themeShade="BF"/>
          <w:sz w:val="30"/>
          <w:szCs w:val="30"/>
        </w:rPr>
        <w:t xml:space="preserve">The Smart Grid, </w:t>
      </w:r>
      <w:r w:rsidRPr="00C95F78">
        <w:rPr>
          <w:rFonts w:asciiTheme="minorHAnsi" w:hAnsiTheme="minorHAnsi"/>
          <w:color w:val="365F91" w:themeColor="accent1" w:themeShade="BF"/>
          <w:sz w:val="30"/>
          <w:szCs w:val="30"/>
        </w:rPr>
        <w:t>Electricity Transmission</w:t>
      </w:r>
      <w:r>
        <w:rPr>
          <w:rFonts w:asciiTheme="minorHAnsi" w:hAnsiTheme="minorHAnsi"/>
          <w:color w:val="365F91" w:themeColor="accent1" w:themeShade="BF"/>
          <w:sz w:val="30"/>
          <w:szCs w:val="30"/>
        </w:rPr>
        <w:t>, Distribution and S</w:t>
      </w:r>
      <w:r w:rsidRPr="00C95F78">
        <w:rPr>
          <w:rFonts w:asciiTheme="minorHAnsi" w:hAnsiTheme="minorHAnsi"/>
          <w:color w:val="365F91" w:themeColor="accent1" w:themeShade="BF"/>
          <w:sz w:val="30"/>
          <w:szCs w:val="30"/>
        </w:rPr>
        <w:t>torage</w:t>
      </w:r>
      <w:bookmarkEnd w:id="148"/>
    </w:p>
    <w:p w:rsidR="00D13525" w:rsidRDefault="00D13525" w:rsidP="00BB1A5E">
      <w:pPr>
        <w:spacing w:after="0" w:line="240" w:lineRule="auto"/>
        <w:contextualSpacing/>
        <w:jc w:val="both"/>
      </w:pPr>
    </w:p>
    <w:p w:rsidR="00D13525" w:rsidRPr="007A1D02" w:rsidRDefault="00D13525"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49" w:name="_Toc263688604"/>
      <w:r w:rsidRPr="007A1D02">
        <w:rPr>
          <w:rFonts w:asciiTheme="minorHAnsi" w:hAnsiTheme="minorHAnsi"/>
          <w:color w:val="365F91" w:themeColor="accent1" w:themeShade="BF"/>
          <w:sz w:val="26"/>
          <w:szCs w:val="26"/>
        </w:rPr>
        <w:t>Sector Background</w:t>
      </w:r>
      <w:bookmarkEnd w:id="149"/>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In other parts of this Report, we look at the development of more efficient, sustainable and most of all cleaner ways of capturing energy and using it, mostly in the form of electricity. The missing link is the process of getting that energy (electricity) from the point of generation to the point of use. This is what this Section is all about.</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Our understanding of how this is going to develop is centred </w:t>
      </w:r>
      <w:r w:rsidR="00D939AE">
        <w:t xml:space="preserve">on </w:t>
      </w:r>
      <w:r>
        <w:t>what is loosely known as the Smart Grid. The term seems to mean different things to different people, but encompasses a very broad range of technical and market developments that directly impact on the structure and use of the electricity transmission and distribution network. This includes energy storage, an essential part of ensuring the efficient and reliable use of the electricity network.</w:t>
      </w:r>
    </w:p>
    <w:p w:rsidR="00D13525" w:rsidRDefault="00D13525" w:rsidP="00BB1A5E">
      <w:pPr>
        <w:spacing w:after="0" w:line="240" w:lineRule="auto"/>
        <w:contextualSpacing/>
        <w:jc w:val="both"/>
      </w:pPr>
    </w:p>
    <w:p w:rsidR="00D13525" w:rsidRPr="007A1D02" w:rsidRDefault="00D13525"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50" w:name="_Toc263688605"/>
      <w:r>
        <w:rPr>
          <w:rFonts w:asciiTheme="minorHAnsi" w:hAnsiTheme="minorHAnsi"/>
          <w:color w:val="365F91" w:themeColor="accent1" w:themeShade="BF"/>
          <w:sz w:val="26"/>
          <w:szCs w:val="26"/>
        </w:rPr>
        <w:t>Alternative Technical and Market Solutions</w:t>
      </w:r>
      <w:bookmarkEnd w:id="150"/>
    </w:p>
    <w:p w:rsidR="00D13525" w:rsidRDefault="00D13525" w:rsidP="00BB1A5E">
      <w:pPr>
        <w:spacing w:after="0" w:line="240" w:lineRule="auto"/>
        <w:contextualSpacing/>
        <w:jc w:val="both"/>
      </w:pPr>
    </w:p>
    <w:p w:rsidR="00D13525" w:rsidRPr="00E328A3" w:rsidRDefault="00D13525" w:rsidP="00BB1A5E">
      <w:pPr>
        <w:spacing w:after="0" w:line="240" w:lineRule="auto"/>
        <w:contextualSpacing/>
        <w:jc w:val="both"/>
        <w:rPr>
          <w:b/>
          <w:color w:val="365F91" w:themeColor="accent1" w:themeShade="BF"/>
          <w:sz w:val="24"/>
          <w:szCs w:val="24"/>
        </w:rPr>
      </w:pPr>
      <w:r>
        <w:rPr>
          <w:b/>
          <w:color w:val="365F91" w:themeColor="accent1" w:themeShade="BF"/>
          <w:sz w:val="24"/>
          <w:szCs w:val="24"/>
        </w:rPr>
        <w:t>The Smart Grid</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Underlying Principles: </w:t>
      </w:r>
      <w:r>
        <w:t>In its “Smart 2020” report, the Climate Group estimates that the Smart Grid, given its broadest definition, could be responsible for 2.03 GtCO</w:t>
      </w:r>
      <w:r w:rsidRPr="00980B38">
        <w:rPr>
          <w:rFonts w:cs="Arial"/>
          <w:vertAlign w:val="subscript"/>
        </w:rPr>
        <w:t>2</w:t>
      </w:r>
      <w:r>
        <w:t xml:space="preserve">e </w:t>
      </w:r>
      <w:r w:rsidR="00D939AE">
        <w:t xml:space="preserve">of </w:t>
      </w:r>
      <w:r>
        <w:t>greenhouse gas emission abatement by 2020, about one quarter of the total attainable through the use of ICT. It places most of the saving with the grid itself, putting 0.30 GtCO</w:t>
      </w:r>
      <w:r w:rsidRPr="00980B38">
        <w:rPr>
          <w:rFonts w:cs="Arial"/>
          <w:vertAlign w:val="subscript"/>
        </w:rPr>
        <w:t>2</w:t>
      </w:r>
      <w:r>
        <w:t>e at the user end of the equation.</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The emissions savings potential is split as follows:</w:t>
      </w:r>
    </w:p>
    <w:p w:rsidR="00D13525" w:rsidRDefault="00D13525" w:rsidP="00BB1A5E">
      <w:pPr>
        <w:spacing w:after="0" w:line="240" w:lineRule="auto"/>
        <w:contextualSpacing/>
        <w:jc w:val="both"/>
      </w:pPr>
    </w:p>
    <w:p w:rsidR="00D13525" w:rsidRDefault="00D13525" w:rsidP="00BB1A5E">
      <w:pPr>
        <w:pStyle w:val="ListParagraph"/>
        <w:numPr>
          <w:ilvl w:val="0"/>
          <w:numId w:val="29"/>
        </w:numPr>
        <w:spacing w:after="120" w:line="240" w:lineRule="auto"/>
        <w:ind w:left="714" w:hanging="357"/>
        <w:contextualSpacing w:val="0"/>
        <w:jc w:val="both"/>
      </w:pPr>
      <w:r>
        <w:t>Reduced transmission and distribution losses (for 0.90 GtCO</w:t>
      </w:r>
      <w:r w:rsidRPr="00980B38">
        <w:rPr>
          <w:rFonts w:cs="Arial"/>
          <w:vertAlign w:val="subscript"/>
        </w:rPr>
        <w:t>2</w:t>
      </w:r>
      <w:r>
        <w:t>e).</w:t>
      </w:r>
    </w:p>
    <w:p w:rsidR="00D13525" w:rsidRDefault="00D13525" w:rsidP="00BB1A5E">
      <w:pPr>
        <w:pStyle w:val="ListParagraph"/>
        <w:numPr>
          <w:ilvl w:val="0"/>
          <w:numId w:val="29"/>
        </w:numPr>
        <w:spacing w:after="120" w:line="240" w:lineRule="auto"/>
        <w:ind w:left="714" w:hanging="357"/>
        <w:contextualSpacing w:val="0"/>
        <w:jc w:val="both"/>
      </w:pPr>
      <w:r>
        <w:t>Integration of renewable energy sources (for 0.83 GtCO</w:t>
      </w:r>
      <w:r w:rsidRPr="00980B38">
        <w:rPr>
          <w:rFonts w:cs="Arial"/>
          <w:vertAlign w:val="subscript"/>
        </w:rPr>
        <w:t>2</w:t>
      </w:r>
      <w:r>
        <w:t>e).</w:t>
      </w:r>
    </w:p>
    <w:p w:rsidR="00D13525" w:rsidRDefault="00D13525" w:rsidP="00BB1A5E">
      <w:pPr>
        <w:pStyle w:val="ListParagraph"/>
        <w:numPr>
          <w:ilvl w:val="0"/>
          <w:numId w:val="29"/>
        </w:numPr>
        <w:spacing w:after="0" w:line="240" w:lineRule="auto"/>
        <w:jc w:val="both"/>
      </w:pPr>
      <w:r>
        <w:t>Reduction in consumer use through user information and Demand Side Management (DSM) (0.30 GtCO</w:t>
      </w:r>
      <w:r w:rsidRPr="00980B38">
        <w:rPr>
          <w:rFonts w:cs="Arial"/>
          <w:vertAlign w:val="subscript"/>
        </w:rPr>
        <w:t>2</w:t>
      </w:r>
      <w:r>
        <w:t>e).</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p>
    <w:p w:rsidR="00D13525" w:rsidRPr="00C95F78" w:rsidRDefault="00D13525" w:rsidP="00621010">
      <w:pPr>
        <w:pStyle w:val="Caption"/>
        <w:contextualSpacing/>
        <w:jc w:val="center"/>
        <w:rPr>
          <w:color w:val="auto"/>
          <w:sz w:val="22"/>
          <w:szCs w:val="22"/>
        </w:rPr>
      </w:pPr>
      <w:bookmarkStart w:id="151" w:name="_Toc26367173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81</w:t>
      </w:r>
      <w:r w:rsidR="00D50FDC" w:rsidRPr="00C95F78">
        <w:rPr>
          <w:sz w:val="28"/>
          <w:szCs w:val="28"/>
        </w:rPr>
        <w:fldChar w:fldCharType="end"/>
      </w:r>
      <w:r w:rsidRPr="00C95F78">
        <w:rPr>
          <w:sz w:val="28"/>
          <w:szCs w:val="28"/>
        </w:rPr>
        <w:t>:</w:t>
      </w:r>
      <w:r>
        <w:rPr>
          <w:sz w:val="28"/>
          <w:szCs w:val="28"/>
        </w:rPr>
        <w:t xml:space="preserve"> The Smart Grid and Lower Greenhouse Gas Emissions</w:t>
      </w:r>
      <w:r>
        <w:rPr>
          <w:rStyle w:val="FootnoteReference"/>
          <w:sz w:val="28"/>
          <w:szCs w:val="28"/>
        </w:rPr>
        <w:footnoteReference w:id="23"/>
      </w:r>
      <w:bookmarkEnd w:id="151"/>
    </w:p>
    <w:p w:rsidR="00D13525" w:rsidRDefault="00D13525" w:rsidP="00BB1A5E">
      <w:pPr>
        <w:spacing w:after="0" w:line="240" w:lineRule="auto"/>
        <w:contextualSpacing/>
        <w:jc w:val="both"/>
      </w:pPr>
      <w:r>
        <w:rPr>
          <w:noProof/>
          <w:lang w:val="en-US"/>
        </w:rPr>
        <w:drawing>
          <wp:inline distT="0" distB="0" distL="0" distR="0">
            <wp:extent cx="5852000" cy="2473334"/>
            <wp:effectExtent l="19050" t="0" r="0" b="0"/>
            <wp:docPr id="1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5852000" cy="2473334"/>
                    </a:xfrm>
                    <a:prstGeom prst="rect">
                      <a:avLst/>
                    </a:prstGeom>
                    <a:noFill/>
                    <a:ln w="9525">
                      <a:noFill/>
                      <a:miter lim="800000"/>
                      <a:headEnd/>
                      <a:tailEnd/>
                    </a:ln>
                  </pic:spPr>
                </pic:pic>
              </a:graphicData>
            </a:graphic>
          </wp:inline>
        </w:drawing>
      </w:r>
    </w:p>
    <w:p w:rsidR="00D13525" w:rsidRDefault="00D13525" w:rsidP="00BB1A5E">
      <w:pPr>
        <w:spacing w:after="0" w:line="240" w:lineRule="auto"/>
        <w:contextualSpacing/>
        <w:jc w:val="both"/>
      </w:pPr>
      <w:r>
        <w:t>As we have seen in the discussion of distributed generation above, the use of cleaner energy sources will reduce greenhouse gas emissions. This is only true, however, if the electricity produced can be fully utilised. This requires considerable input of ICT, although other aspects of the transmission and distribution grid will also need upgrading. The same is true of direct improvement in the level of transmission and distribution losses of electricity, ICT will help, but it is by no means the whole story.</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What is the Smart Grid? </w:t>
      </w:r>
      <w:r>
        <w:t>The key qualities of the Smart Grid can be defined as follows:</w:t>
      </w:r>
    </w:p>
    <w:p w:rsidR="00D13525" w:rsidRDefault="00D13525" w:rsidP="00BB1A5E">
      <w:pPr>
        <w:spacing w:after="0" w:line="240" w:lineRule="auto"/>
        <w:contextualSpacing/>
        <w:jc w:val="both"/>
      </w:pPr>
    </w:p>
    <w:p w:rsidR="00D13525" w:rsidRDefault="00D13525" w:rsidP="00BB1A5E">
      <w:pPr>
        <w:pStyle w:val="ListParagraph"/>
        <w:numPr>
          <w:ilvl w:val="0"/>
          <w:numId w:val="30"/>
        </w:numPr>
        <w:spacing w:after="120" w:line="240" w:lineRule="auto"/>
        <w:ind w:left="714" w:hanging="357"/>
        <w:contextualSpacing w:val="0"/>
        <w:jc w:val="both"/>
      </w:pPr>
      <w:r>
        <w:t>Reliable: High quality power when and where it is needed, with no failures.</w:t>
      </w:r>
    </w:p>
    <w:p w:rsidR="00D13525" w:rsidRDefault="00D13525" w:rsidP="00BB1A5E">
      <w:pPr>
        <w:pStyle w:val="ListParagraph"/>
        <w:numPr>
          <w:ilvl w:val="0"/>
          <w:numId w:val="30"/>
        </w:numPr>
        <w:spacing w:after="120" w:line="240" w:lineRule="auto"/>
        <w:ind w:left="714" w:hanging="357"/>
        <w:contextualSpacing w:val="0"/>
        <w:jc w:val="both"/>
      </w:pPr>
      <w:r>
        <w:t>Secure: Able to withstand physical and cyber attack, and less vulnerable to natural disaster.</w:t>
      </w:r>
    </w:p>
    <w:p w:rsidR="00D13525" w:rsidRDefault="00D13525" w:rsidP="00BB1A5E">
      <w:pPr>
        <w:pStyle w:val="ListParagraph"/>
        <w:numPr>
          <w:ilvl w:val="0"/>
          <w:numId w:val="30"/>
        </w:numPr>
        <w:spacing w:after="120" w:line="240" w:lineRule="auto"/>
        <w:ind w:left="714" w:hanging="357"/>
        <w:contextualSpacing w:val="0"/>
        <w:jc w:val="both"/>
      </w:pPr>
      <w:r>
        <w:t>Economic: Fair prices for the service provided.</w:t>
      </w:r>
    </w:p>
    <w:p w:rsidR="00D13525" w:rsidRDefault="00D13525" w:rsidP="00BB1A5E">
      <w:pPr>
        <w:pStyle w:val="ListParagraph"/>
        <w:numPr>
          <w:ilvl w:val="0"/>
          <w:numId w:val="30"/>
        </w:numPr>
        <w:spacing w:after="120" w:line="240" w:lineRule="auto"/>
        <w:ind w:left="714" w:hanging="357"/>
        <w:contextualSpacing w:val="0"/>
        <w:jc w:val="both"/>
      </w:pPr>
      <w:r>
        <w:t>Efficient: Low transmission and distribution loss, efficient power production, asset use optimisation, including options for consumers to manage their energy use.</w:t>
      </w:r>
    </w:p>
    <w:p w:rsidR="00D13525" w:rsidRDefault="00D13525" w:rsidP="00BB1A5E">
      <w:pPr>
        <w:pStyle w:val="ListParagraph"/>
        <w:numPr>
          <w:ilvl w:val="0"/>
          <w:numId w:val="30"/>
        </w:numPr>
        <w:spacing w:after="120" w:line="240" w:lineRule="auto"/>
        <w:ind w:left="714" w:hanging="357"/>
        <w:contextualSpacing w:val="0"/>
        <w:jc w:val="both"/>
      </w:pPr>
      <w:r>
        <w:t xml:space="preserve">Environmentally </w:t>
      </w:r>
      <w:r w:rsidR="00B00555">
        <w:t>f</w:t>
      </w:r>
      <w:r>
        <w:t>riendly: Low environmental impact and integration of clean, intermittent energy sources.</w:t>
      </w:r>
    </w:p>
    <w:p w:rsidR="00D13525" w:rsidRDefault="00D13525" w:rsidP="00BB1A5E">
      <w:pPr>
        <w:pStyle w:val="ListParagraph"/>
        <w:numPr>
          <w:ilvl w:val="0"/>
          <w:numId w:val="30"/>
        </w:numPr>
        <w:spacing w:after="0" w:line="240" w:lineRule="auto"/>
        <w:jc w:val="both"/>
      </w:pPr>
      <w:r>
        <w:t>Safe: Capable of use without harm.</w:t>
      </w:r>
    </w:p>
    <w:p w:rsidR="00D13525" w:rsidRDefault="00D13525" w:rsidP="00BB1A5E">
      <w:pPr>
        <w:spacing w:after="0" w:line="240" w:lineRule="auto"/>
        <w:jc w:val="both"/>
      </w:pPr>
    </w:p>
    <w:p w:rsidR="00D13525" w:rsidRDefault="00D13525" w:rsidP="00BB1A5E">
      <w:pPr>
        <w:spacing w:after="0" w:line="240" w:lineRule="auto"/>
        <w:jc w:val="both"/>
      </w:pPr>
      <w:r>
        <w:t>To achieve these qualities, the Smart Grid must have the following characteristics:</w:t>
      </w:r>
    </w:p>
    <w:p w:rsidR="00D13525" w:rsidRDefault="00D13525" w:rsidP="00BB1A5E">
      <w:pPr>
        <w:spacing w:after="0" w:line="240" w:lineRule="auto"/>
        <w:jc w:val="both"/>
      </w:pPr>
    </w:p>
    <w:p w:rsidR="00D13525" w:rsidRDefault="00D13525" w:rsidP="00BB1A5E">
      <w:pPr>
        <w:pStyle w:val="ListParagraph"/>
        <w:numPr>
          <w:ilvl w:val="0"/>
          <w:numId w:val="31"/>
        </w:numPr>
        <w:spacing w:after="120" w:line="240" w:lineRule="auto"/>
        <w:contextualSpacing w:val="0"/>
        <w:jc w:val="both"/>
      </w:pPr>
      <w:r>
        <w:t>Allow active participation in energy management by consumers.</w:t>
      </w:r>
    </w:p>
    <w:p w:rsidR="00D13525" w:rsidRDefault="00D13525" w:rsidP="00BB1A5E">
      <w:pPr>
        <w:pStyle w:val="ListParagraph"/>
        <w:numPr>
          <w:ilvl w:val="0"/>
          <w:numId w:val="31"/>
        </w:numPr>
        <w:spacing w:after="120" w:line="240" w:lineRule="auto"/>
        <w:ind w:left="714" w:hanging="357"/>
        <w:contextualSpacing w:val="0"/>
        <w:jc w:val="both"/>
      </w:pPr>
      <w:r>
        <w:t>Seamless integration of all forms of electricity generation, including those owned by consumers.</w:t>
      </w:r>
    </w:p>
    <w:p w:rsidR="00D13525" w:rsidRDefault="00D13525" w:rsidP="00BB1A5E">
      <w:pPr>
        <w:pStyle w:val="ListParagraph"/>
        <w:numPr>
          <w:ilvl w:val="0"/>
          <w:numId w:val="31"/>
        </w:numPr>
        <w:spacing w:after="120" w:line="240" w:lineRule="auto"/>
        <w:ind w:left="714" w:hanging="357"/>
        <w:contextualSpacing w:val="0"/>
        <w:jc w:val="both"/>
      </w:pPr>
      <w:r>
        <w:t>Support the creation of new electricity pricing and transfer structures.</w:t>
      </w:r>
    </w:p>
    <w:p w:rsidR="00D13525" w:rsidRDefault="00D13525" w:rsidP="00BB1A5E">
      <w:pPr>
        <w:spacing w:after="0" w:line="240" w:lineRule="auto"/>
        <w:contextualSpacing/>
        <w:jc w:val="both"/>
      </w:pPr>
    </w:p>
    <w:p w:rsidR="00D13525" w:rsidRPr="00C95F78" w:rsidRDefault="00D13525" w:rsidP="00621010">
      <w:pPr>
        <w:pStyle w:val="Caption"/>
        <w:contextualSpacing/>
        <w:jc w:val="center"/>
        <w:rPr>
          <w:color w:val="auto"/>
          <w:sz w:val="22"/>
          <w:szCs w:val="22"/>
        </w:rPr>
      </w:pPr>
      <w:bookmarkStart w:id="152" w:name="_Toc26367173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82</w:t>
      </w:r>
      <w:r w:rsidR="00D50FDC" w:rsidRPr="00C95F78">
        <w:rPr>
          <w:sz w:val="28"/>
          <w:szCs w:val="28"/>
        </w:rPr>
        <w:fldChar w:fldCharType="end"/>
      </w:r>
      <w:r w:rsidRPr="00C95F78">
        <w:rPr>
          <w:sz w:val="28"/>
          <w:szCs w:val="28"/>
        </w:rPr>
        <w:t>:</w:t>
      </w:r>
      <w:r>
        <w:rPr>
          <w:sz w:val="28"/>
          <w:szCs w:val="28"/>
        </w:rPr>
        <w:t xml:space="preserve"> Characteristics of the Smart Grid</w:t>
      </w:r>
      <w:bookmarkEnd w:id="152"/>
    </w:p>
    <w:p w:rsidR="00D13525" w:rsidRDefault="00D13525" w:rsidP="00BB1A5E">
      <w:pPr>
        <w:spacing w:after="0" w:line="240" w:lineRule="auto"/>
        <w:contextualSpacing/>
        <w:jc w:val="both"/>
      </w:pPr>
      <w:r>
        <w:rPr>
          <w:noProof/>
          <w:lang w:val="en-US"/>
        </w:rPr>
        <w:drawing>
          <wp:inline distT="0" distB="0" distL="0" distR="0">
            <wp:extent cx="5511515" cy="3879162"/>
            <wp:effectExtent l="0" t="0" r="0" b="0"/>
            <wp:docPr id="1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srcRect l="-8690" t="938"/>
                    <a:stretch>
                      <a:fillRect/>
                    </a:stretch>
                  </pic:blipFill>
                  <pic:spPr bwMode="auto">
                    <a:xfrm>
                      <a:off x="0" y="0"/>
                      <a:ext cx="5511515" cy="3879162"/>
                    </a:xfrm>
                    <a:prstGeom prst="rect">
                      <a:avLst/>
                    </a:prstGeom>
                    <a:noFill/>
                    <a:ln w="9525">
                      <a:noFill/>
                      <a:miter lim="800000"/>
                      <a:headEnd/>
                      <a:tailEnd/>
                    </a:ln>
                  </pic:spPr>
                </pic:pic>
              </a:graphicData>
            </a:graphic>
          </wp:inline>
        </w:drawing>
      </w:r>
    </w:p>
    <w:p w:rsidR="00D13525" w:rsidRDefault="00D13525" w:rsidP="00BB1A5E">
      <w:pPr>
        <w:pStyle w:val="ListParagraph"/>
        <w:numPr>
          <w:ilvl w:val="0"/>
          <w:numId w:val="33"/>
        </w:numPr>
        <w:spacing w:after="120" w:line="240" w:lineRule="auto"/>
        <w:contextualSpacing w:val="0"/>
        <w:jc w:val="both"/>
      </w:pPr>
      <w:r>
        <w:t>Provide the power quality necessary for the digital economy.</w:t>
      </w:r>
    </w:p>
    <w:p w:rsidR="00D13525" w:rsidRDefault="00D13525" w:rsidP="00BB1A5E">
      <w:pPr>
        <w:pStyle w:val="ListParagraph"/>
        <w:numPr>
          <w:ilvl w:val="0"/>
          <w:numId w:val="33"/>
        </w:numPr>
        <w:spacing w:after="120" w:line="240" w:lineRule="auto"/>
        <w:ind w:left="714" w:hanging="357"/>
        <w:contextualSpacing w:val="0"/>
        <w:jc w:val="both"/>
      </w:pPr>
      <w:r>
        <w:t>Optimise asset utilisation and operational efficiency by improving load factors, reducing system losses and greatly reducing power outages.</w:t>
      </w:r>
    </w:p>
    <w:p w:rsidR="00D13525" w:rsidRDefault="00D13525" w:rsidP="00BB1A5E">
      <w:pPr>
        <w:pStyle w:val="ListParagraph"/>
        <w:numPr>
          <w:ilvl w:val="0"/>
          <w:numId w:val="33"/>
        </w:numPr>
        <w:spacing w:after="120" w:line="240" w:lineRule="auto"/>
        <w:contextualSpacing w:val="0"/>
        <w:jc w:val="both"/>
      </w:pPr>
      <w:r>
        <w:t>Have self-healing abilities, being able to anticipate and respond to system disturbances through continuous self-monitoring and control mechanisms.</w:t>
      </w:r>
    </w:p>
    <w:p w:rsidR="00D13525" w:rsidRDefault="00D13525" w:rsidP="00BB1A5E">
      <w:pPr>
        <w:pStyle w:val="ListParagraph"/>
        <w:numPr>
          <w:ilvl w:val="0"/>
          <w:numId w:val="33"/>
        </w:numPr>
        <w:spacing w:after="0" w:line="240" w:lineRule="auto"/>
        <w:jc w:val="both"/>
      </w:pPr>
      <w:r>
        <w:t>Be rugged enough to withstand attack or natural disaster.</w:t>
      </w:r>
    </w:p>
    <w:p w:rsidR="00D13525" w:rsidRDefault="00D13525" w:rsidP="00BB1A5E">
      <w:pPr>
        <w:spacing w:after="0" w:line="240" w:lineRule="auto"/>
        <w:jc w:val="both"/>
      </w:pPr>
    </w:p>
    <w:p w:rsidR="00D13525" w:rsidRDefault="00D13525" w:rsidP="00BB1A5E">
      <w:pPr>
        <w:spacing w:after="0" w:line="240" w:lineRule="auto"/>
        <w:contextualSpacing/>
        <w:jc w:val="both"/>
      </w:pPr>
      <w:r>
        <w:rPr>
          <w:b/>
        </w:rPr>
        <w:t xml:space="preserve">Investment in ICT: </w:t>
      </w:r>
      <w:r>
        <w:t>With most electricity networks in mature markets having been under invested for years, making the network “smart” will require considerable investment, exactly where that spending will go depending on the character and deficiencies of each network. There are some common components, however.</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First of all, it is recognised that at the very least, consumer premises must have advanced metering, providing two-way communication between the consumer and the utility. </w:t>
      </w:r>
      <w:r w:rsidR="0030289E" w:rsidRPr="0030289E">
        <w:t>Only after the meter</w:t>
      </w:r>
      <w:r w:rsidRPr="0030289E">
        <w:t xml:space="preserve"> is installed is it possible for consumers to have the information they need to use their electricity more efficiently.</w:t>
      </w:r>
      <w:r>
        <w:t xml:space="preserve">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Once the meter has been installed, the consumer is able to respond to utility signals that energy should be saved. The utility may, for example, implement time-of-day pricing, charging more at peak periods as a signal to consumers to shut off unnecessary power use through load control switches. Some devices, such as thermostats, washers, dryers and refrigerators may be adapted to respond to such signals.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By this means the consumer saves money and the utility evens out its load, thus achieving a better load factor and improving asset utilisation. Evening out the load </w:t>
      </w:r>
      <w:r w:rsidR="00685D5C">
        <w:t>has</w:t>
      </w:r>
      <w:r>
        <w:t xml:space="preserve"> the additional </w:t>
      </w:r>
      <w:r w:rsidRPr="0030289E">
        <w:t>benefit of reducing transmission and distribution losses, which are highest when loadings on the wires and cables are excessive</w:t>
      </w:r>
      <w:r w:rsidR="008E1958" w:rsidRPr="0030289E">
        <w:t>.</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In the EU, directives and regulations are in place to ensure that the Smart Grid at least achieves the intelligent metering stage over the next few years. By 2020, the main Directive states that 80% of households in Europe should be equipped with smart electricity meters and that a complete roll out should be achieved by 2022. Many meters have already been installed. It is probable that more advanced ones will need to be installed to achieve the full potential of the Smart Grid. In particular, advanced communication and metering systems will be needed to incorporate the resale of electricity from small-scale self generation and plug-in electric vehicles.</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sidRPr="0030289E">
        <w:t xml:space="preserve">Meters form only part of the information structure required to link the consumer to the electric utility. The power companies will have to invest </w:t>
      </w:r>
      <w:r w:rsidR="0030289E" w:rsidRPr="0030289E">
        <w:t xml:space="preserve">in </w:t>
      </w:r>
      <w:r w:rsidRPr="0030289E">
        <w:t>microprocessor based systems at the substations, and further up the chain.</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The bulk of the utilities ICT investment, however, is likely to be in the internal management of their networks. This will include the use of h</w:t>
      </w:r>
      <w:r w:rsidRPr="00B26E00">
        <w:t xml:space="preserve">igh speed sensors </w:t>
      </w:r>
      <w:r>
        <w:t>(</w:t>
      </w:r>
      <w:r w:rsidRPr="00B26E00">
        <w:t>PMUs</w:t>
      </w:r>
      <w:r>
        <w:t>) distributed throughout the</w:t>
      </w:r>
      <w:r w:rsidRPr="00B26E00">
        <w:t xml:space="preserve"> network to monitor power quality and in some cases respond automatically</w:t>
      </w:r>
      <w:r>
        <w:t>. Wide area networks of PMUs, fully integrated into the system, are thought to be capable of containing domino effect blackouts, thus containing any problem to a small portion of the network. Network p</w:t>
      </w:r>
      <w:r w:rsidRPr="00B26E00">
        <w:t xml:space="preserve">ower system automation </w:t>
      </w:r>
      <w:r>
        <w:t xml:space="preserve">will </w:t>
      </w:r>
      <w:r w:rsidRPr="00B26E00">
        <w:t>enables rapid diagnosis of and precise solutions to specific grid disruptions</w:t>
      </w:r>
      <w:r>
        <w:t>. The systems involve analytical software, control systems and operational applications.</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sidRPr="0030289E">
        <w:t>The need to f</w:t>
      </w:r>
      <w:r w:rsidR="008E1958" w:rsidRPr="0030289E">
        <w:t>orm</w:t>
      </w:r>
      <w:r w:rsidRPr="0030289E">
        <w:t xml:space="preserve"> the information infrastructure of the network itself has become more pressing with the steady integration of distrib</w:t>
      </w:r>
      <w:r w:rsidR="0030289E" w:rsidRPr="0030289E">
        <w:t>uted generation, much of which is fr</w:t>
      </w:r>
      <w:r w:rsidR="0030289E">
        <w:t>om</w:t>
      </w:r>
      <w:r>
        <w:t xml:space="preserve"> intermittent sources and</w:t>
      </w:r>
      <w:r w:rsidR="0030289E">
        <w:t xml:space="preserve"> has</w:t>
      </w:r>
      <w:r>
        <w:t xml:space="preserve"> no facility for long term storage (including wind and solar PV power). Without well structured integration of distributed generation, the new sources of electricity threaten to reduce the integrity of the grid further, at the very time that it most needs improvement.</w:t>
      </w:r>
    </w:p>
    <w:p w:rsidR="00D13525" w:rsidRDefault="00D13525" w:rsidP="00BB1A5E">
      <w:pPr>
        <w:spacing w:after="0" w:line="240" w:lineRule="auto"/>
        <w:contextualSpacing/>
        <w:jc w:val="both"/>
      </w:pPr>
    </w:p>
    <w:p w:rsidR="00D13525" w:rsidRPr="00E328A3" w:rsidRDefault="00D13525" w:rsidP="00BB1A5E">
      <w:pPr>
        <w:spacing w:after="0" w:line="240" w:lineRule="auto"/>
        <w:contextualSpacing/>
        <w:jc w:val="both"/>
        <w:rPr>
          <w:b/>
          <w:color w:val="365F91" w:themeColor="accent1" w:themeShade="BF"/>
          <w:sz w:val="24"/>
          <w:szCs w:val="24"/>
        </w:rPr>
      </w:pPr>
      <w:r>
        <w:rPr>
          <w:b/>
          <w:color w:val="365F91" w:themeColor="accent1" w:themeShade="BF"/>
          <w:sz w:val="24"/>
          <w:szCs w:val="24"/>
        </w:rPr>
        <w:t>Transmission and Distribution</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Smart Grid and other developments in the electricity business have direct bearing on the physical (non-electronic) components of the transmission and distribution network. Although the main impact is on transmission, distribution may be affected too. We have seen in Section 2, for example, that the increased electricity demand created by plug-in vehicles may mean that many distribution transformers will need to be replaced.</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Upgrading the Transmission Network: </w:t>
      </w:r>
      <w:r>
        <w:t>As far as transmission is concerned, recent developments are pulling in two directions. In theory, by achieving better loading, the Smart Grid should reduce the need for new transmission lines. On balance, however, recent developments are positive:</w:t>
      </w:r>
    </w:p>
    <w:p w:rsidR="00D13525" w:rsidRDefault="00D13525" w:rsidP="00BB1A5E">
      <w:pPr>
        <w:spacing w:after="0" w:line="240" w:lineRule="auto"/>
        <w:contextualSpacing/>
        <w:jc w:val="both"/>
      </w:pPr>
    </w:p>
    <w:p w:rsidR="00D13525" w:rsidRDefault="00D13525" w:rsidP="00BB1A5E">
      <w:pPr>
        <w:pStyle w:val="ListParagraph"/>
        <w:numPr>
          <w:ilvl w:val="0"/>
          <w:numId w:val="32"/>
        </w:numPr>
        <w:spacing w:after="120" w:line="240" w:lineRule="auto"/>
        <w:ind w:left="714" w:hanging="357"/>
        <w:contextualSpacing w:val="0"/>
        <w:jc w:val="both"/>
      </w:pPr>
      <w:r>
        <w:t>New transmission lines needed to link in distribution generation sources.</w:t>
      </w:r>
    </w:p>
    <w:p w:rsidR="00D13525" w:rsidRDefault="00D13525" w:rsidP="00BB1A5E">
      <w:pPr>
        <w:pStyle w:val="ListParagraph"/>
        <w:numPr>
          <w:ilvl w:val="0"/>
          <w:numId w:val="32"/>
        </w:numPr>
        <w:spacing w:after="120" w:line="240" w:lineRule="auto"/>
        <w:ind w:left="714" w:hanging="357"/>
        <w:contextualSpacing w:val="0"/>
        <w:jc w:val="both"/>
      </w:pPr>
      <w:r>
        <w:t>More long distance transport of electricity as the electricity market becomes deregulated.</w:t>
      </w:r>
    </w:p>
    <w:p w:rsidR="00D13525" w:rsidRDefault="00D13525" w:rsidP="00BB1A5E">
      <w:pPr>
        <w:pStyle w:val="ListParagraph"/>
        <w:numPr>
          <w:ilvl w:val="0"/>
          <w:numId w:val="32"/>
        </w:numPr>
        <w:spacing w:after="0" w:line="240" w:lineRule="auto"/>
        <w:jc w:val="both"/>
      </w:pPr>
      <w:r>
        <w:t>More offshore power connections, in deeper water.</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The three trends taken together mean greater transmission lengths at a higher voltage, the third means that much of this is offshore. The net result of these trends has been a growing interest in HVDC transmission as opposed to HVAC. Not only does DC transmission mean lower electricity losses for any given distance of transmission, it also allows transmission at ultra-high voltages, beyond the thermal limits of AC lines.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HVDC in Favour: </w:t>
      </w:r>
      <w:r>
        <w:t>The downside of DC transmission (from the investors’ point of view), is that AC/DC and DC/AC inverters are needed at either end of the cable. In calculating whether the DC option is appropriate, the electrical losses in the inverter as well as its cost needs to be taken into account. This makes HVDC transmission only appropriate over quite long distances.</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In terrestrial applications, HVDC lines are mostly overhead aluminium conductors. The big growth area in this market, however, has been in subsea lines, mainly linking country networks but increasingly also linking up wind farms located at some distance (over 50 km) from the shore.</w:t>
      </w:r>
    </w:p>
    <w:p w:rsidR="00D13525" w:rsidRPr="00C95F78" w:rsidRDefault="00D13525" w:rsidP="00BB1A5E">
      <w:pPr>
        <w:spacing w:after="0" w:line="240" w:lineRule="auto"/>
        <w:contextualSpacing/>
        <w:jc w:val="both"/>
        <w:rPr>
          <w:b/>
          <w:bCs/>
        </w:rPr>
      </w:pPr>
    </w:p>
    <w:p w:rsidR="00D13525" w:rsidRDefault="00D13525" w:rsidP="00BB1A5E">
      <w:pPr>
        <w:spacing w:after="0" w:line="240" w:lineRule="auto"/>
        <w:contextualSpacing/>
        <w:jc w:val="both"/>
      </w:pPr>
      <w:r>
        <w:rPr>
          <w:b/>
        </w:rPr>
        <w:t xml:space="preserve">Subsea Interconnection: </w:t>
      </w:r>
      <w:r>
        <w:t xml:space="preserve">A big potential in Europe exists in the development of a North Sea and Baltic Sea super-grid, for which there are a number of proposals in place, combining inter-country connection with the linking in of offshore wind farms. </w:t>
      </w:r>
    </w:p>
    <w:p w:rsidR="00D13525" w:rsidRDefault="00D13525" w:rsidP="00BB1A5E">
      <w:pPr>
        <w:spacing w:after="0" w:line="240" w:lineRule="auto"/>
        <w:contextualSpacing/>
        <w:jc w:val="both"/>
      </w:pPr>
    </w:p>
    <w:p w:rsidR="00D13525" w:rsidRPr="00C95F78" w:rsidRDefault="00D13525" w:rsidP="00BB1A5E">
      <w:pPr>
        <w:spacing w:after="0" w:line="240" w:lineRule="auto"/>
        <w:contextualSpacing/>
        <w:jc w:val="both"/>
      </w:pPr>
      <w:r w:rsidRPr="00C95F78">
        <w:t>The European Commission proposed a North Sea Offshore grid in its Second Strategic Energy Review, published in November 2008. This grid was identified as one of six priority energy infrastructure actions of the EU. The North Sea Offshore Grid is envisaged by the European Commission as a buildin</w:t>
      </w:r>
      <w:r>
        <w:t>g block of a greater European-</w:t>
      </w:r>
      <w:r w:rsidRPr="00C95F78">
        <w:t>super grid.</w:t>
      </w:r>
    </w:p>
    <w:p w:rsidR="00D13525" w:rsidRDefault="00D13525" w:rsidP="00BB1A5E">
      <w:pPr>
        <w:spacing w:after="0" w:line="240" w:lineRule="auto"/>
        <w:contextualSpacing/>
        <w:jc w:val="both"/>
      </w:pPr>
    </w:p>
    <w:p w:rsidR="00D13525" w:rsidRPr="00C95F78" w:rsidRDefault="00D13525" w:rsidP="00BB1A5E">
      <w:pPr>
        <w:spacing w:after="0" w:line="240" w:lineRule="auto"/>
        <w:contextualSpacing/>
        <w:jc w:val="both"/>
      </w:pPr>
      <w:r w:rsidRPr="00C95F78">
        <w:t>A political declaration of the North Seas Countries Offshore Grid Initiative was signed in December 2009 at the European Union Energy Council by Germany, the United Kingdom, France, Denmark, Sweden, the Netherlands, Belgium, Ireland and Luxembourg.</w:t>
      </w:r>
      <w:r>
        <w:t xml:space="preserve"> </w:t>
      </w:r>
      <w:r w:rsidRPr="00C95F78">
        <w:t>The European Commission is due to publish a "Blueprint for a North Sea Grid" in 2010.</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A Market for Copper Sheathed Cables? </w:t>
      </w:r>
      <w:r>
        <w:t>Aside from the interconnection issue, the shift of wind power development into deeper water creates a potential market for floating wind towers, requiring flexible links to the ocean floor rather than the existing fixed links. The Hywind turbine, undergoing a two-year trial off Norway from 2009, is one such technology. The design allows the floating wind tower to operate at depths of over 120 metres, where fixed installations would become exceptionally expensive, to around 700 metres.</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The oil and gas industry already has a well-established track record in operating floating systems at great depth, requiring cable connections to the seabed. The so called FPSOs, floating production units, were generally restricted to a water depth of 1,000 metres in the 1990s, but in the past decade operation in depths of 1,500 metres become fairly commonplace, and over 2,000 metres has been achieved.</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This, and the possible use of floating wind turbines, is potentially a very interesting market for copper use in the copper sheathing of power cables. The cable connecting the platform to the seabed has to withstand </w:t>
      </w:r>
      <w:r w:rsidRPr="0026063E">
        <w:t>recurrent bending, axial and torsional forces</w:t>
      </w:r>
      <w:r>
        <w:t>,</w:t>
      </w:r>
      <w:r w:rsidRPr="0026063E">
        <w:t xml:space="preserve"> with frequencies induced by the currents and waves.</w:t>
      </w:r>
      <w:r>
        <w:t xml:space="preserve"> To compensate for this a so-called “dynamic” cable is required, capable of withstanding the extreme forces imposed and remain water tight.</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p>
    <w:p w:rsidR="00D13525" w:rsidRPr="00C95F78" w:rsidRDefault="00D13525" w:rsidP="00621010">
      <w:pPr>
        <w:pStyle w:val="Caption"/>
        <w:contextualSpacing/>
        <w:jc w:val="center"/>
        <w:rPr>
          <w:color w:val="auto"/>
          <w:sz w:val="22"/>
          <w:szCs w:val="22"/>
        </w:rPr>
      </w:pPr>
      <w:bookmarkStart w:id="153" w:name="_Toc26367173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83</w:t>
      </w:r>
      <w:r w:rsidR="00D50FDC" w:rsidRPr="00C95F78">
        <w:rPr>
          <w:sz w:val="28"/>
          <w:szCs w:val="28"/>
        </w:rPr>
        <w:fldChar w:fldCharType="end"/>
      </w:r>
      <w:r w:rsidRPr="00C95F78">
        <w:rPr>
          <w:sz w:val="28"/>
          <w:szCs w:val="28"/>
        </w:rPr>
        <w:t>:</w:t>
      </w:r>
      <w:r>
        <w:rPr>
          <w:sz w:val="28"/>
          <w:szCs w:val="28"/>
        </w:rPr>
        <w:t xml:space="preserve"> Copper Sheathed Dynamic Cable Design and Sheath Testing</w:t>
      </w:r>
      <w:r>
        <w:rPr>
          <w:rStyle w:val="FootnoteReference"/>
          <w:sz w:val="28"/>
          <w:szCs w:val="28"/>
        </w:rPr>
        <w:footnoteReference w:id="24"/>
      </w:r>
      <w:bookmarkEnd w:id="153"/>
    </w:p>
    <w:p w:rsidR="00D13525" w:rsidRDefault="00D13525" w:rsidP="00BB1A5E">
      <w:pPr>
        <w:spacing w:after="0" w:line="240" w:lineRule="auto"/>
        <w:contextualSpacing/>
        <w:jc w:val="both"/>
      </w:pPr>
      <w:r w:rsidRPr="002D746B">
        <w:rPr>
          <w:noProof/>
          <w:lang w:val="en-US"/>
        </w:rPr>
        <w:drawing>
          <wp:inline distT="0" distB="0" distL="0" distR="0">
            <wp:extent cx="5826760" cy="2466975"/>
            <wp:effectExtent l="19050" t="0" r="2540" b="0"/>
            <wp:docPr id="176" name="Picture 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srcRect/>
                    <a:stretch>
                      <a:fillRect/>
                    </a:stretch>
                  </pic:blipFill>
                  <pic:spPr bwMode="auto">
                    <a:xfrm>
                      <a:off x="0" y="0"/>
                      <a:ext cx="5826760" cy="2466975"/>
                    </a:xfrm>
                    <a:prstGeom prst="rect">
                      <a:avLst/>
                    </a:prstGeom>
                    <a:noFill/>
                    <a:ln w="9525">
                      <a:noFill/>
                      <a:miter lim="800000"/>
                      <a:headEnd/>
                      <a:tailEnd/>
                    </a:ln>
                  </pic:spPr>
                </pic:pic>
              </a:graphicData>
            </a:graphic>
          </wp:inline>
        </w:drawing>
      </w:r>
    </w:p>
    <w:p w:rsidR="00D13525" w:rsidRPr="00C95F78" w:rsidRDefault="00D13525" w:rsidP="00BB1A5E">
      <w:pPr>
        <w:spacing w:after="0" w:line="240" w:lineRule="auto"/>
        <w:contextualSpacing/>
        <w:jc w:val="both"/>
        <w:rPr>
          <w:noProof/>
          <w:lang w:eastAsia="en-GB"/>
        </w:rPr>
      </w:pP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Lead sheathing has been found to be entirely unsuitable for dynamic cables, and copper is thought to be a superior option to aluminium. In the major Gjøa offshore oilfield project off Norway in 360 metres of water, the cable connection between the platform and the seabed has a </w:t>
      </w:r>
      <w:r w:rsidRPr="0026063E">
        <w:t xml:space="preserve">corrugated welded copper sheath. </w:t>
      </w:r>
      <w:r>
        <w:t xml:space="preserve">The dynamic cable connection, to be installed in 2010, is 1.5 km in length, linking in to a 100 km static cable connecting the platform to the shore. </w:t>
      </w:r>
      <w:r w:rsidR="009438A1">
        <w:t>The cable ha</w:t>
      </w:r>
      <w:r w:rsidRPr="0026063E">
        <w:t>s a 3-pha</w:t>
      </w:r>
      <w:r>
        <w:t>se 115 kV AC construction</w:t>
      </w:r>
      <w:r w:rsidR="009438A1">
        <w:t>.</w:t>
      </w:r>
      <w:r>
        <w:t xml:space="preserve"> </w:t>
      </w:r>
      <w:r w:rsidR="009438A1">
        <w:t>The manufacturer</w:t>
      </w:r>
      <w:r>
        <w:t xml:space="preserve"> believe</w:t>
      </w:r>
      <w:r w:rsidR="009438A1">
        <w:t>s</w:t>
      </w:r>
      <w:r>
        <w:t xml:space="preserve"> that the corrugated copper sheathing design is also applicable to DC cables.</w:t>
      </w:r>
    </w:p>
    <w:p w:rsidR="00D13525" w:rsidRDefault="00D13525" w:rsidP="00BB1A5E">
      <w:pPr>
        <w:spacing w:after="0" w:line="240" w:lineRule="auto"/>
        <w:contextualSpacing/>
        <w:jc w:val="both"/>
      </w:pPr>
    </w:p>
    <w:p w:rsidR="00D13525" w:rsidRPr="00247901" w:rsidRDefault="00D13525" w:rsidP="00BB1A5E">
      <w:pPr>
        <w:spacing w:after="0" w:line="240" w:lineRule="auto"/>
        <w:contextualSpacing/>
        <w:jc w:val="both"/>
        <w:rPr>
          <w:b/>
          <w:color w:val="365F91" w:themeColor="accent1" w:themeShade="BF"/>
          <w:sz w:val="24"/>
          <w:szCs w:val="24"/>
        </w:rPr>
      </w:pPr>
      <w:r>
        <w:rPr>
          <w:b/>
          <w:color w:val="365F91" w:themeColor="accent1" w:themeShade="BF"/>
          <w:sz w:val="24"/>
          <w:szCs w:val="24"/>
        </w:rPr>
        <w:t>Energy Storage</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As an alternative to managing the demand side of the electricity equation and the physical and information structure of the grid itself, energy storage is another means of ensuring network integrity. There are two aspects to the energy storage business. One is the provision of short term bursts of power exactly when it is required to preserve power quality. The other, a market still in its infancy, is long term storage to supply supplementary power for periods of hours rather than seconds or minutes. Better energy storage and power compensation devices are required to fully integrate distributed power sources.</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rPr>
          <w:b/>
        </w:rPr>
        <w:t xml:space="preserve">Short Term Power Compensation: </w:t>
      </w:r>
      <w:r>
        <w:t xml:space="preserve">A family of devices based on power electronics, often referred to as FACTS devices (Flexible AC Transmission System) can be used to enable better utilization of transmission lines and transformers.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The simplest of these devices are the thyristor controlled capacitor and reactor banks (SVC) that have been widely used to provide quick reactive power compensation at critical locations in the transmission grid. Another commonly used device is thyristor-controlled series capacitors (TCSC) that can provide reactive compensation as well as damping of power system oscillations. More sophisticated use of power electronics is employed in what is called static synchronous compensators (STATCOM), which deliver reactive power based on the variations of the system voltage fluctuations.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Beyond the immediate and short term potential of power electronics, some form of mechanical or chemical storage device is needed. We discuss this market in Section 4,</w:t>
      </w:r>
      <w:r w:rsidR="009E08DD">
        <w:t xml:space="preserve"> </w:t>
      </w:r>
      <w:r>
        <w:t>3,</w:t>
      </w:r>
      <w:r w:rsidR="009E08DD">
        <w:t xml:space="preserve"> </w:t>
      </w:r>
      <w:r>
        <w:t>6 of this report.</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Basically, there are devices capable of delivering large amounts of power for short periods. These include high speed flywheels and ultra-capacitors. Then there are the devices intended for longer term storage. To date, most of this market has been supplied by huge banks of lead acid batteries, but this is far from being an ideal option.</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Technologies currently being developed include li-ion batteries, fuel cells, flow batteries and compressed air storage. None of these technologies has been fully commercialised, each being costly, with limited output power and duration. We are still a long way from the situation where electricity can be released from intermittent sources to satisfy peak energy requirements. Current developments are promising, however, with Saft in cooperation with ABB recently releasing a battery system that it says can be adapted to deliver 50 MW of electricity for 60 minutes or more.</w:t>
      </w:r>
    </w:p>
    <w:p w:rsidR="00D13525" w:rsidRDefault="00D13525" w:rsidP="00BB1A5E">
      <w:pPr>
        <w:spacing w:after="0" w:line="240" w:lineRule="auto"/>
        <w:contextualSpacing/>
        <w:jc w:val="both"/>
      </w:pPr>
    </w:p>
    <w:p w:rsidR="00D13525" w:rsidRPr="001268A7" w:rsidRDefault="00D13525"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54" w:name="_Toc263688606"/>
      <w:r>
        <w:rPr>
          <w:rFonts w:asciiTheme="minorHAnsi" w:hAnsiTheme="minorHAnsi"/>
          <w:color w:val="365F91" w:themeColor="accent1" w:themeShade="BF"/>
          <w:sz w:val="26"/>
          <w:szCs w:val="26"/>
        </w:rPr>
        <w:t>Market Forecasts and Impact on Copper</w:t>
      </w:r>
      <w:bookmarkEnd w:id="154"/>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 xml:space="preserve">Clearly, the link between electricity distribution and consumption, covered in this Section, is an important one in the emerging energy economy. There are some important developments within it, which will undoubtedly create opportunities for copper. </w:t>
      </w:r>
    </w:p>
    <w:p w:rsidR="00D13525" w:rsidRDefault="00D13525" w:rsidP="00BB1A5E">
      <w:pPr>
        <w:spacing w:after="0" w:line="240" w:lineRule="auto"/>
        <w:contextualSpacing/>
        <w:jc w:val="both"/>
      </w:pPr>
    </w:p>
    <w:p w:rsidR="00D13525" w:rsidRDefault="00D13525" w:rsidP="00BB1A5E">
      <w:pPr>
        <w:spacing w:after="0" w:line="240" w:lineRule="auto"/>
        <w:contextualSpacing/>
        <w:jc w:val="both"/>
      </w:pPr>
      <w:r>
        <w:t>Individually, these opportunities are not really quantifiable, and discrete “emerging markets” very difficult to identify. It is more appropriate to look at this area of business as one with strong growth prospects, in which specific opportunities are highly likely to arise. Specific points of interest include the following:</w:t>
      </w:r>
    </w:p>
    <w:p w:rsidR="00D13525" w:rsidRDefault="00D13525" w:rsidP="00BB1A5E">
      <w:pPr>
        <w:spacing w:after="0" w:line="240" w:lineRule="auto"/>
        <w:contextualSpacing/>
        <w:jc w:val="both"/>
      </w:pPr>
    </w:p>
    <w:p w:rsidR="00D13525" w:rsidRPr="008858C5" w:rsidRDefault="00D13525" w:rsidP="00BB1A5E">
      <w:pPr>
        <w:pStyle w:val="ListParagraph"/>
        <w:numPr>
          <w:ilvl w:val="0"/>
          <w:numId w:val="34"/>
        </w:numPr>
        <w:spacing w:after="120" w:line="240" w:lineRule="auto"/>
        <w:ind w:left="714" w:hanging="357"/>
        <w:contextualSpacing w:val="0"/>
        <w:jc w:val="both"/>
        <w:rPr>
          <w:b/>
        </w:rPr>
      </w:pPr>
      <w:r w:rsidRPr="009E3DC6">
        <w:rPr>
          <w:b/>
        </w:rPr>
        <w:t xml:space="preserve">Power Electronics: </w:t>
      </w:r>
      <w:r>
        <w:t>We have identified specific market opportunities in power electronics in this Section and provided forecasts in Section 4.3.4. Additional to this, there is likely to be strong growth in power electronics related to electricity grid power quality management.</w:t>
      </w:r>
    </w:p>
    <w:p w:rsidR="00D13525" w:rsidRDefault="00D13525" w:rsidP="00BB1A5E">
      <w:pPr>
        <w:pStyle w:val="ListParagraph"/>
        <w:numPr>
          <w:ilvl w:val="0"/>
          <w:numId w:val="34"/>
        </w:numPr>
        <w:spacing w:after="120" w:line="240" w:lineRule="auto"/>
        <w:ind w:left="714" w:hanging="357"/>
        <w:contextualSpacing w:val="0"/>
        <w:jc w:val="both"/>
      </w:pPr>
      <w:r>
        <w:rPr>
          <w:b/>
        </w:rPr>
        <w:t xml:space="preserve">Electronics Generally: </w:t>
      </w:r>
      <w:r w:rsidRPr="009E08DD">
        <w:t xml:space="preserve">The </w:t>
      </w:r>
      <w:r w:rsidRPr="008858C5">
        <w:t>Smart Grid will have a high ICT content</w:t>
      </w:r>
      <w:r>
        <w:t>, with an inevitable spin off for electronic components.</w:t>
      </w:r>
    </w:p>
    <w:p w:rsidR="00D13525" w:rsidRDefault="00D13525" w:rsidP="00BB1A5E">
      <w:pPr>
        <w:pStyle w:val="ListParagraph"/>
        <w:numPr>
          <w:ilvl w:val="0"/>
          <w:numId w:val="34"/>
        </w:numPr>
        <w:spacing w:after="120" w:line="240" w:lineRule="auto"/>
        <w:ind w:left="714" w:hanging="357"/>
        <w:contextualSpacing w:val="0"/>
        <w:jc w:val="both"/>
      </w:pPr>
      <w:r>
        <w:rPr>
          <w:b/>
        </w:rPr>
        <w:t xml:space="preserve">HVDC Systems: </w:t>
      </w:r>
      <w:r>
        <w:t>Longer transmission distances and higher voltages create a growing interest in DC transmission. Even where the transmission itself is by aluminium conductor, probable in terrestrial locations, large inverter stations are likely to have a high copper content, in windings and also in power electronics.</w:t>
      </w:r>
    </w:p>
    <w:p w:rsidR="00D13525" w:rsidRDefault="00D13525" w:rsidP="00BB1A5E">
      <w:pPr>
        <w:pStyle w:val="ListParagraph"/>
        <w:numPr>
          <w:ilvl w:val="0"/>
          <w:numId w:val="34"/>
        </w:numPr>
        <w:spacing w:after="120" w:line="240" w:lineRule="auto"/>
        <w:ind w:left="714" w:hanging="357"/>
        <w:contextualSpacing w:val="0"/>
        <w:jc w:val="both"/>
      </w:pPr>
      <w:r>
        <w:rPr>
          <w:b/>
        </w:rPr>
        <w:t>Dynamic and Other Copper Sheathed Cables:</w:t>
      </w:r>
      <w:r>
        <w:t xml:space="preserve"> Copper’s fatigue resistance characteristics make it an ideal sheathing product for free-moving cables between floating platforms and the seabed. This could become important as offshore development moves into deeper water in relatively small floating installations, and wind farms also move further offshore.</w:t>
      </w:r>
    </w:p>
    <w:p w:rsidR="00D13525" w:rsidRDefault="00D13525" w:rsidP="00BB1A5E">
      <w:pPr>
        <w:pStyle w:val="ListParagraph"/>
        <w:numPr>
          <w:ilvl w:val="0"/>
          <w:numId w:val="34"/>
        </w:numPr>
        <w:spacing w:after="120" w:line="240" w:lineRule="auto"/>
        <w:ind w:left="714" w:hanging="357"/>
        <w:contextualSpacing w:val="0"/>
        <w:jc w:val="both"/>
      </w:pPr>
      <w:r>
        <w:rPr>
          <w:b/>
        </w:rPr>
        <w:t>Cable Replacement:</w:t>
      </w:r>
      <w:r>
        <w:t xml:space="preserve"> </w:t>
      </w:r>
      <w:r w:rsidRPr="00D0507E">
        <w:t xml:space="preserve">Better </w:t>
      </w:r>
      <w:r>
        <w:t>load management may slow the necessity for cable replacement. On the other hand, the requirement for a better electricity grid should push replacement programmes forward, and favour underground installation relative to overhead in order to reduce transmission losses.</w:t>
      </w:r>
    </w:p>
    <w:p w:rsidR="00D13525" w:rsidRPr="00D0507E" w:rsidRDefault="00D13525" w:rsidP="00BB1A5E">
      <w:pPr>
        <w:pStyle w:val="ListParagraph"/>
        <w:numPr>
          <w:ilvl w:val="0"/>
          <w:numId w:val="34"/>
        </w:numPr>
        <w:spacing w:after="120" w:line="240" w:lineRule="auto"/>
        <w:ind w:left="714" w:hanging="357"/>
        <w:contextualSpacing w:val="0"/>
        <w:jc w:val="both"/>
      </w:pPr>
      <w:r>
        <w:rPr>
          <w:b/>
        </w:rPr>
        <w:t xml:space="preserve">Transformer Replacement: </w:t>
      </w:r>
      <w:r>
        <w:t>A similar logic applies to transformer replacement as to cable replacement. Increased loads on the final distribution transformer coupled with a large disparity between the efficiency rating of existing units and those now being required by legislation, however, create a larger potential market in transformer replacement.</w:t>
      </w:r>
    </w:p>
    <w:p w:rsidR="00D13525" w:rsidRPr="00C95F78" w:rsidRDefault="00D13525" w:rsidP="00BB1A5E">
      <w:pPr>
        <w:spacing w:after="0" w:line="240" w:lineRule="auto"/>
        <w:contextualSpacing/>
        <w:jc w:val="both"/>
      </w:pPr>
    </w:p>
    <w:p w:rsidR="003B51B2" w:rsidRPr="00C95F78" w:rsidRDefault="003B51B2"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55" w:name="_Toc263165369"/>
      <w:bookmarkStart w:id="156" w:name="_Toc263688607"/>
      <w:r w:rsidRPr="00C95F78">
        <w:rPr>
          <w:rFonts w:asciiTheme="minorHAnsi" w:hAnsiTheme="minorHAnsi"/>
          <w:color w:val="365F91" w:themeColor="accent1" w:themeShade="BF"/>
          <w:sz w:val="30"/>
          <w:szCs w:val="30"/>
        </w:rPr>
        <w:t>Carbon Capture and Storage</w:t>
      </w:r>
      <w:bookmarkEnd w:id="155"/>
      <w:bookmarkEnd w:id="156"/>
    </w:p>
    <w:p w:rsidR="003B51B2" w:rsidRPr="00C95F78" w:rsidRDefault="003B51B2" w:rsidP="00BB1A5E">
      <w:pPr>
        <w:spacing w:after="0" w:line="240" w:lineRule="auto"/>
        <w:contextualSpacing/>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57" w:name="_Toc263688608"/>
      <w:r w:rsidRPr="007A1D02">
        <w:rPr>
          <w:rFonts w:asciiTheme="minorHAnsi" w:hAnsiTheme="minorHAnsi"/>
          <w:color w:val="365F91" w:themeColor="accent1" w:themeShade="BF"/>
          <w:sz w:val="26"/>
          <w:szCs w:val="26"/>
        </w:rPr>
        <w:t>Sector Background</w:t>
      </w:r>
      <w:bookmarkEnd w:id="157"/>
    </w:p>
    <w:p w:rsidR="003B51B2" w:rsidRDefault="003B51B2" w:rsidP="00BB1A5E">
      <w:pPr>
        <w:spacing w:after="0" w:line="240" w:lineRule="auto"/>
        <w:contextualSpacing/>
        <w:jc w:val="both"/>
      </w:pPr>
    </w:p>
    <w:p w:rsidR="00692C0D" w:rsidRDefault="00692C0D" w:rsidP="00BB1A5E">
      <w:pPr>
        <w:spacing w:after="0" w:line="240" w:lineRule="auto"/>
        <w:contextualSpacing/>
        <w:jc w:val="both"/>
      </w:pPr>
      <w:r w:rsidRPr="00C95F78">
        <w:t>While most of the focus on CO</w:t>
      </w:r>
      <w:r w:rsidRPr="00C95F78">
        <w:rPr>
          <w:vertAlign w:val="subscript"/>
        </w:rPr>
        <w:t>2</w:t>
      </w:r>
      <w:r w:rsidRPr="00C95F78">
        <w:t xml:space="preserve"> is about alternative energy sources and lower use of energy, the third option, the capture and storage of CO</w:t>
      </w:r>
      <w:r w:rsidRPr="00C95F78">
        <w:rPr>
          <w:vertAlign w:val="subscript"/>
        </w:rPr>
        <w:t>2</w:t>
      </w:r>
      <w:r w:rsidRPr="00C95F78">
        <w:t xml:space="preserve"> from fossil fuel burning facilities is often ignored. It is clear, however that carbon capture and storage (CCS) does have a major role to play in CO</w:t>
      </w:r>
      <w:r w:rsidRPr="00C95F78">
        <w:rPr>
          <w:vertAlign w:val="subscript"/>
        </w:rPr>
        <w:t>2</w:t>
      </w:r>
      <w:r w:rsidRPr="00C95F78">
        <w:t xml:space="preserve"> abatement.</w:t>
      </w:r>
      <w:r>
        <w:t xml:space="preserve"> In its review of CCS potential in Europe, McKinsey found that 47% of all </w:t>
      </w:r>
      <w:r w:rsidRPr="00C95F78">
        <w:t>CO</w:t>
      </w:r>
      <w:r w:rsidRPr="00C95F78">
        <w:rPr>
          <w:vertAlign w:val="subscript"/>
        </w:rPr>
        <w:t>2</w:t>
      </w:r>
      <w:r>
        <w:rPr>
          <w:vertAlign w:val="subscript"/>
        </w:rPr>
        <w:t xml:space="preserve"> </w:t>
      </w:r>
      <w:r w:rsidRPr="00692C0D">
        <w:t xml:space="preserve">emissions </w:t>
      </w:r>
      <w:r>
        <w:t>are potentially addressable by CCS. The amounts that can be addressed coming from power stations and from industry are roughly equal, with oil refineries, iron and steel plants, and cement works each having a very large potential.</w:t>
      </w:r>
    </w:p>
    <w:p w:rsidR="00692C0D" w:rsidRDefault="00692C0D" w:rsidP="00BB1A5E">
      <w:pPr>
        <w:spacing w:after="0" w:line="240" w:lineRule="auto"/>
        <w:contextualSpacing/>
        <w:jc w:val="both"/>
      </w:pPr>
    </w:p>
    <w:p w:rsidR="00692C0D" w:rsidRDefault="00692C0D" w:rsidP="00BB1A5E">
      <w:pPr>
        <w:spacing w:after="0" w:line="240" w:lineRule="auto"/>
        <w:contextualSpacing/>
        <w:jc w:val="both"/>
      </w:pPr>
    </w:p>
    <w:p w:rsidR="00692C0D" w:rsidRPr="00C95F78" w:rsidRDefault="00692C0D" w:rsidP="00621010">
      <w:pPr>
        <w:pStyle w:val="Caption"/>
        <w:spacing w:after="0"/>
        <w:contextualSpacing/>
        <w:jc w:val="center"/>
        <w:rPr>
          <w:color w:val="auto"/>
          <w:sz w:val="22"/>
          <w:szCs w:val="22"/>
        </w:rPr>
      </w:pPr>
      <w:bookmarkStart w:id="158" w:name="_Toc263165487"/>
      <w:bookmarkStart w:id="159" w:name="_Toc26367173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84</w:t>
      </w:r>
      <w:r w:rsidR="00D50FDC" w:rsidRPr="00C95F78">
        <w:rPr>
          <w:sz w:val="28"/>
          <w:szCs w:val="28"/>
        </w:rPr>
        <w:fldChar w:fldCharType="end"/>
      </w:r>
      <w:r w:rsidRPr="00C95F78">
        <w:rPr>
          <w:sz w:val="28"/>
          <w:szCs w:val="28"/>
        </w:rPr>
        <w:t>: European CO</w:t>
      </w:r>
      <w:r w:rsidRPr="00C95F78">
        <w:rPr>
          <w:sz w:val="28"/>
          <w:szCs w:val="28"/>
          <w:vertAlign w:val="subscript"/>
        </w:rPr>
        <w:t>2</w:t>
      </w:r>
      <w:r w:rsidRPr="00C95F78">
        <w:rPr>
          <w:sz w:val="28"/>
          <w:szCs w:val="28"/>
        </w:rPr>
        <w:t xml:space="preserve"> Emissions </w:t>
      </w:r>
      <w:r>
        <w:rPr>
          <w:sz w:val="28"/>
          <w:szCs w:val="28"/>
        </w:rPr>
        <w:t>Addressable by CCS</w:t>
      </w:r>
      <w:r w:rsidRPr="00621010">
        <w:rPr>
          <w:rStyle w:val="FootnoteReference"/>
          <w:sz w:val="22"/>
          <w:szCs w:val="22"/>
        </w:rPr>
        <w:footnoteReference w:id="25"/>
      </w:r>
      <w:bookmarkEnd w:id="158"/>
      <w:bookmarkEnd w:id="159"/>
    </w:p>
    <w:p w:rsidR="00692C0D" w:rsidRPr="00C95F78" w:rsidRDefault="00692C0D" w:rsidP="00BB1A5E">
      <w:pPr>
        <w:autoSpaceDE w:val="0"/>
        <w:autoSpaceDN w:val="0"/>
        <w:adjustRightInd w:val="0"/>
        <w:spacing w:after="0" w:line="240" w:lineRule="auto"/>
        <w:contextualSpacing/>
        <w:jc w:val="both"/>
      </w:pPr>
      <w:r w:rsidRPr="00C95F78">
        <w:rPr>
          <w:noProof/>
          <w:lang w:val="en-US"/>
        </w:rPr>
        <w:drawing>
          <wp:inline distT="0" distB="0" distL="0" distR="0">
            <wp:extent cx="5740305" cy="2563744"/>
            <wp:effectExtent l="1905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t="34789" b="6690"/>
                    <a:stretch>
                      <a:fillRect/>
                    </a:stretch>
                  </pic:blipFill>
                  <pic:spPr bwMode="auto">
                    <a:xfrm>
                      <a:off x="0" y="0"/>
                      <a:ext cx="5740305" cy="2563744"/>
                    </a:xfrm>
                    <a:prstGeom prst="rect">
                      <a:avLst/>
                    </a:prstGeom>
                    <a:noFill/>
                    <a:ln w="9525">
                      <a:noFill/>
                      <a:miter lim="800000"/>
                      <a:headEnd/>
                      <a:tailEnd/>
                    </a:ln>
                  </pic:spPr>
                </pic:pic>
              </a:graphicData>
            </a:graphic>
          </wp:inline>
        </w:drawing>
      </w:r>
    </w:p>
    <w:p w:rsidR="00692C0D" w:rsidRDefault="00692C0D" w:rsidP="00BB1A5E">
      <w:pPr>
        <w:autoSpaceDE w:val="0"/>
        <w:autoSpaceDN w:val="0"/>
        <w:adjustRightInd w:val="0"/>
        <w:spacing w:after="0" w:line="240" w:lineRule="auto"/>
        <w:contextualSpacing/>
        <w:jc w:val="both"/>
      </w:pPr>
    </w:p>
    <w:p w:rsidR="003B2652" w:rsidRPr="00C95F78" w:rsidRDefault="003B2652" w:rsidP="00BB1A5E">
      <w:pPr>
        <w:autoSpaceDE w:val="0"/>
        <w:autoSpaceDN w:val="0"/>
        <w:adjustRightInd w:val="0"/>
        <w:spacing w:after="0" w:line="240" w:lineRule="auto"/>
        <w:contextualSpacing/>
        <w:jc w:val="both"/>
      </w:pPr>
    </w:p>
    <w:p w:rsidR="00692C0D" w:rsidRDefault="00692C0D" w:rsidP="00BB1A5E">
      <w:pPr>
        <w:spacing w:after="0" w:line="240" w:lineRule="auto"/>
        <w:contextualSpacing/>
        <w:jc w:val="both"/>
      </w:pPr>
    </w:p>
    <w:p w:rsidR="003B51B2" w:rsidRPr="00D702A0" w:rsidRDefault="00692C0D" w:rsidP="00BB1A5E">
      <w:pPr>
        <w:autoSpaceDE w:val="0"/>
        <w:autoSpaceDN w:val="0"/>
        <w:adjustRightInd w:val="0"/>
        <w:spacing w:after="0" w:line="240" w:lineRule="auto"/>
        <w:contextualSpacing/>
        <w:jc w:val="both"/>
      </w:pPr>
      <w:r>
        <w:t>Just how far government and private initiatives will go to address this potential is open to date</w:t>
      </w:r>
      <w:r w:rsidR="00C4521E">
        <w:t>.</w:t>
      </w:r>
      <w:r>
        <w:t xml:space="preserve"> </w:t>
      </w:r>
      <w:r w:rsidR="003B51B2" w:rsidRPr="00C95F78">
        <w:t xml:space="preserve">In its (optimistic) “Blue Map” scenario, the IEA forecasts that CCS will account for more than one-fifth of </w:t>
      </w:r>
      <w:r w:rsidR="003B51B2" w:rsidRPr="00D702A0">
        <w:t>total CO</w:t>
      </w:r>
      <w:r w:rsidR="003B51B2" w:rsidRPr="009E08DD">
        <w:rPr>
          <w:vertAlign w:val="subscript"/>
        </w:rPr>
        <w:t>2</w:t>
      </w:r>
      <w:r w:rsidR="003B51B2" w:rsidRPr="00D702A0">
        <w:t xml:space="preserve"> abatement by 2050. From small beginnings, the progress of CCS is expected to start well before 2020, and to become a commercial proposition soon after.</w:t>
      </w:r>
    </w:p>
    <w:p w:rsidR="003B51B2" w:rsidRDefault="003B51B2" w:rsidP="00BB1A5E">
      <w:pPr>
        <w:autoSpaceDE w:val="0"/>
        <w:autoSpaceDN w:val="0"/>
        <w:adjustRightInd w:val="0"/>
        <w:spacing w:after="0" w:line="240" w:lineRule="auto"/>
        <w:contextualSpacing/>
        <w:jc w:val="both"/>
      </w:pPr>
    </w:p>
    <w:p w:rsidR="003B2652" w:rsidRPr="00C95F78" w:rsidRDefault="003B2652" w:rsidP="00BB1A5E">
      <w:pPr>
        <w:autoSpaceDE w:val="0"/>
        <w:autoSpaceDN w:val="0"/>
        <w:adjustRightInd w:val="0"/>
        <w:spacing w:after="0" w:line="240" w:lineRule="auto"/>
        <w:contextualSpacing/>
        <w:jc w:val="both"/>
      </w:pPr>
      <w:r w:rsidRPr="00C95F78">
        <w:t>The development of CCS really comprises of three different elements, these being the “capture” of CO</w:t>
      </w:r>
      <w:r w:rsidRPr="00C95F78">
        <w:rPr>
          <w:vertAlign w:val="subscript"/>
        </w:rPr>
        <w:t>2</w:t>
      </w:r>
      <w:r w:rsidRPr="00C95F78">
        <w:t xml:space="preserve"> (its separation from other gases), its transport and its storage. All three of these elements have undergone development, and there are schemes already in place for each individually and in combination. In Europe, the largest storage scheme in place has been in operation since 1996. This is Statoil’s storage of CO</w:t>
      </w:r>
      <w:r w:rsidRPr="00C95F78">
        <w:rPr>
          <w:vertAlign w:val="subscript"/>
        </w:rPr>
        <w:t>2</w:t>
      </w:r>
      <w:r w:rsidRPr="00C95F78">
        <w:t xml:space="preserve"> in a saline aquifer underneath its Sleipner gas field off Norway.</w:t>
      </w:r>
    </w:p>
    <w:p w:rsidR="003B2652" w:rsidRPr="00C95F78" w:rsidRDefault="003B2652" w:rsidP="00BB1A5E">
      <w:pPr>
        <w:autoSpaceDE w:val="0"/>
        <w:autoSpaceDN w:val="0"/>
        <w:adjustRightInd w:val="0"/>
        <w:spacing w:after="0" w:line="240" w:lineRule="auto"/>
        <w:contextualSpacing/>
        <w:jc w:val="both"/>
      </w:pPr>
    </w:p>
    <w:p w:rsidR="003B2652" w:rsidRPr="00C95F78" w:rsidRDefault="003B2652" w:rsidP="00BB1A5E">
      <w:pPr>
        <w:autoSpaceDE w:val="0"/>
        <w:autoSpaceDN w:val="0"/>
        <w:adjustRightInd w:val="0"/>
        <w:spacing w:after="0" w:line="240" w:lineRule="auto"/>
        <w:contextualSpacing/>
        <w:jc w:val="both"/>
      </w:pPr>
      <w:r w:rsidRPr="00C95F78">
        <w:t>To date</w:t>
      </w:r>
      <w:r>
        <w:t>,</w:t>
      </w:r>
      <w:r w:rsidRPr="00C95F78">
        <w:t xml:space="preserve"> many of the projects </w:t>
      </w:r>
      <w:r>
        <w:t>in place have been designed to</w:t>
      </w:r>
      <w:r w:rsidRPr="00C95F78">
        <w:t xml:space="preserve"> enhance recovery from oil fields (EOR) and gas fields (EGR), by increasing the pressure to bring the hydrocarbons to the surface.</w:t>
      </w:r>
      <w:r>
        <w:t xml:space="preserve"> Existing </w:t>
      </w:r>
      <w:r w:rsidRPr="00C95F78">
        <w:t>CCS projects are heavily focused on North America (the United State</w:t>
      </w:r>
      <w:r>
        <w:t>s and Canada), with Europe coming</w:t>
      </w:r>
      <w:r w:rsidRPr="00C95F78">
        <w:t xml:space="preserve"> second.</w:t>
      </w:r>
    </w:p>
    <w:p w:rsidR="003B2652" w:rsidRPr="00C95F78" w:rsidRDefault="003B2652" w:rsidP="00BB1A5E">
      <w:pPr>
        <w:autoSpaceDE w:val="0"/>
        <w:autoSpaceDN w:val="0"/>
        <w:adjustRightInd w:val="0"/>
        <w:spacing w:after="0" w:line="240" w:lineRule="auto"/>
        <w:contextualSpacing/>
        <w:jc w:val="both"/>
      </w:pPr>
    </w:p>
    <w:p w:rsidR="003B2652" w:rsidRPr="00C95F78" w:rsidRDefault="003B2652" w:rsidP="00BB1A5E">
      <w:pPr>
        <w:autoSpaceDE w:val="0"/>
        <w:autoSpaceDN w:val="0"/>
        <w:adjustRightInd w:val="0"/>
        <w:spacing w:after="0" w:line="240" w:lineRule="auto"/>
        <w:contextualSpacing/>
        <w:jc w:val="both"/>
      </w:pPr>
    </w:p>
    <w:p w:rsidR="003B51B2" w:rsidRPr="00C95F78" w:rsidRDefault="003B51B2" w:rsidP="00A8634F">
      <w:pPr>
        <w:pStyle w:val="Caption"/>
        <w:contextualSpacing/>
        <w:jc w:val="center"/>
        <w:rPr>
          <w:color w:val="auto"/>
          <w:sz w:val="22"/>
          <w:szCs w:val="22"/>
        </w:rPr>
      </w:pPr>
      <w:bookmarkStart w:id="160" w:name="_Toc263165484"/>
      <w:bookmarkStart w:id="161" w:name="_Toc26367173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85</w:t>
      </w:r>
      <w:r w:rsidR="00D50FDC" w:rsidRPr="00C95F78">
        <w:rPr>
          <w:sz w:val="28"/>
          <w:szCs w:val="28"/>
        </w:rPr>
        <w:fldChar w:fldCharType="end"/>
      </w:r>
      <w:r w:rsidRPr="00C95F78">
        <w:rPr>
          <w:sz w:val="28"/>
          <w:szCs w:val="28"/>
        </w:rPr>
        <w:t>: CCS to Deliver One-Fifth of the Lowest Cost CO</w:t>
      </w:r>
      <w:r w:rsidRPr="00C95F78">
        <w:rPr>
          <w:sz w:val="28"/>
          <w:szCs w:val="28"/>
          <w:vertAlign w:val="subscript"/>
        </w:rPr>
        <w:t>2</w:t>
      </w:r>
      <w:r w:rsidRPr="00C95F78">
        <w:rPr>
          <w:sz w:val="28"/>
          <w:szCs w:val="28"/>
        </w:rPr>
        <w:t xml:space="preserve"> Reduction by </w:t>
      </w:r>
      <w:r w:rsidRPr="00621010">
        <w:rPr>
          <w:sz w:val="28"/>
          <w:szCs w:val="28"/>
        </w:rPr>
        <w:t>2050</w:t>
      </w:r>
      <w:r w:rsidRPr="00621010">
        <w:rPr>
          <w:rStyle w:val="FootnoteReference"/>
          <w:sz w:val="22"/>
          <w:szCs w:val="22"/>
        </w:rPr>
        <w:footnoteReference w:id="26"/>
      </w:r>
      <w:bookmarkEnd w:id="160"/>
      <w:bookmarkEnd w:id="161"/>
    </w:p>
    <w:p w:rsidR="003B51B2" w:rsidRPr="00C95F78" w:rsidRDefault="003B51B2" w:rsidP="00BB1A5E">
      <w:pPr>
        <w:autoSpaceDE w:val="0"/>
        <w:autoSpaceDN w:val="0"/>
        <w:adjustRightInd w:val="0"/>
        <w:spacing w:after="0" w:line="240" w:lineRule="auto"/>
        <w:ind w:left="1077"/>
        <w:contextualSpacing/>
        <w:jc w:val="both"/>
      </w:pPr>
      <w:r w:rsidRPr="00C95F78">
        <w:rPr>
          <w:noProof/>
          <w:lang w:val="en-US"/>
        </w:rPr>
        <w:drawing>
          <wp:inline distT="0" distB="0" distL="0" distR="0">
            <wp:extent cx="4458445" cy="3095625"/>
            <wp:effectExtent l="19050" t="0" r="0" b="0"/>
            <wp:docPr id="1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cstate="print"/>
                    <a:srcRect l="1173" t="7991" b="4495"/>
                    <a:stretch>
                      <a:fillRect/>
                    </a:stretch>
                  </pic:blipFill>
                  <pic:spPr bwMode="auto">
                    <a:xfrm>
                      <a:off x="0" y="0"/>
                      <a:ext cx="4458445" cy="3095625"/>
                    </a:xfrm>
                    <a:prstGeom prst="rect">
                      <a:avLst/>
                    </a:prstGeom>
                    <a:noFill/>
                    <a:ln w="9525">
                      <a:noFill/>
                      <a:miter lim="800000"/>
                      <a:headEnd/>
                      <a:tailEnd/>
                    </a:ln>
                  </pic:spPr>
                </pic:pic>
              </a:graphicData>
            </a:graphic>
          </wp:inline>
        </w:drawing>
      </w:r>
    </w:p>
    <w:p w:rsidR="003B51B2" w:rsidRPr="00C95F78" w:rsidRDefault="003B51B2" w:rsidP="00BB1A5E">
      <w:pPr>
        <w:autoSpaceDE w:val="0"/>
        <w:autoSpaceDN w:val="0"/>
        <w:adjustRightInd w:val="0"/>
        <w:spacing w:after="0" w:line="240" w:lineRule="auto"/>
        <w:contextualSpacing/>
        <w:jc w:val="both"/>
      </w:pPr>
    </w:p>
    <w:p w:rsidR="00FB195D" w:rsidRPr="00C95F78" w:rsidRDefault="00FB195D" w:rsidP="00BB1A5E">
      <w:pPr>
        <w:autoSpaceDE w:val="0"/>
        <w:autoSpaceDN w:val="0"/>
        <w:adjustRightInd w:val="0"/>
        <w:spacing w:after="0" w:line="240" w:lineRule="auto"/>
        <w:contextualSpacing/>
        <w:jc w:val="both"/>
      </w:pPr>
      <w:r w:rsidRPr="00C95F78">
        <w:t>Other than the enhancement projects, the status of CCS is primarily for demons</w:t>
      </w:r>
      <w:r>
        <w:t>tration rather than commercialis</w:t>
      </w:r>
      <w:r w:rsidRPr="00C95F78">
        <w:t>ation. Over the forecast period, the status of CCS is expected to move towards commercial, and to cover mainstream fossil fuel burning power plants</w:t>
      </w:r>
      <w:r w:rsidR="00F419DB">
        <w:t xml:space="preserve"> on a large scale, with some penetration into</w:t>
      </w:r>
      <w:r w:rsidRPr="00C95F78">
        <w:t xml:space="preserve"> industrial installations </w:t>
      </w:r>
      <w:r w:rsidR="00F419DB">
        <w:t>also</w:t>
      </w:r>
      <w:r w:rsidRPr="00C95F78">
        <w:t>.</w:t>
      </w:r>
    </w:p>
    <w:p w:rsidR="00FB195D" w:rsidRPr="00C95F78" w:rsidRDefault="00FB195D" w:rsidP="00BB1A5E">
      <w:pPr>
        <w:autoSpaceDE w:val="0"/>
        <w:autoSpaceDN w:val="0"/>
        <w:adjustRightInd w:val="0"/>
        <w:spacing w:after="0" w:line="240" w:lineRule="auto"/>
        <w:contextualSpacing/>
        <w:jc w:val="both"/>
      </w:pPr>
    </w:p>
    <w:p w:rsidR="007A1D02" w:rsidRPr="007A1D02" w:rsidRDefault="007A1D0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62" w:name="_Toc263688609"/>
      <w:r>
        <w:rPr>
          <w:rFonts w:asciiTheme="minorHAnsi" w:hAnsiTheme="minorHAnsi"/>
          <w:color w:val="365F91" w:themeColor="accent1" w:themeShade="BF"/>
          <w:sz w:val="26"/>
          <w:szCs w:val="26"/>
        </w:rPr>
        <w:t>Alternative Technical and Market Solutions</w:t>
      </w:r>
      <w:bookmarkEnd w:id="162"/>
    </w:p>
    <w:p w:rsidR="007A1D02" w:rsidRDefault="007A1D02" w:rsidP="00BB1A5E">
      <w:pPr>
        <w:autoSpaceDE w:val="0"/>
        <w:autoSpaceDN w:val="0"/>
        <w:adjustRightInd w:val="0"/>
        <w:spacing w:after="0" w:line="240" w:lineRule="auto"/>
        <w:contextualSpacing/>
        <w:jc w:val="both"/>
      </w:pPr>
    </w:p>
    <w:p w:rsidR="00FF5530" w:rsidRPr="00D702A0" w:rsidRDefault="00FF5530" w:rsidP="00BB1A5E">
      <w:pPr>
        <w:autoSpaceDE w:val="0"/>
        <w:autoSpaceDN w:val="0"/>
        <w:adjustRightInd w:val="0"/>
        <w:spacing w:after="0" w:line="240" w:lineRule="auto"/>
        <w:contextualSpacing/>
        <w:jc w:val="both"/>
        <w:rPr>
          <w:b/>
          <w:color w:val="365F91" w:themeColor="accent1" w:themeShade="BF"/>
          <w:sz w:val="24"/>
          <w:szCs w:val="24"/>
        </w:rPr>
      </w:pPr>
      <w:r>
        <w:rPr>
          <w:b/>
          <w:color w:val="365F91" w:themeColor="accent1" w:themeShade="BF"/>
          <w:sz w:val="24"/>
          <w:szCs w:val="24"/>
        </w:rPr>
        <w:t>Overview</w:t>
      </w:r>
    </w:p>
    <w:p w:rsidR="00FF5530" w:rsidRDefault="00FF5530" w:rsidP="00BB1A5E">
      <w:pPr>
        <w:autoSpaceDE w:val="0"/>
        <w:autoSpaceDN w:val="0"/>
        <w:adjustRightInd w:val="0"/>
        <w:spacing w:after="0" w:line="240" w:lineRule="auto"/>
        <w:contextualSpacing/>
        <w:jc w:val="both"/>
      </w:pPr>
    </w:p>
    <w:p w:rsidR="00FF5530" w:rsidRDefault="00FF5530" w:rsidP="006258F9">
      <w:pPr>
        <w:autoSpaceDE w:val="0"/>
        <w:autoSpaceDN w:val="0"/>
        <w:adjustRightInd w:val="0"/>
        <w:jc w:val="both"/>
      </w:pPr>
      <w:r>
        <w:t>While not all schemes in place or planned include all three elements of CCS, namely capture, transport and storage, it is envisaged that fully integrated schemes will become quite commonplace</w:t>
      </w:r>
      <w:r w:rsidRPr="00FF5530">
        <w:t xml:space="preserve">. In </w:t>
      </w:r>
      <w:r w:rsidR="006258F9">
        <w:t xml:space="preserve">Figure 86 </w:t>
      </w:r>
      <w:r w:rsidRPr="00FF5530">
        <w:t>we show a schematic of a fully integrated CCS system.</w:t>
      </w:r>
    </w:p>
    <w:p w:rsidR="003B2652" w:rsidRPr="003B2652" w:rsidRDefault="003B2652" w:rsidP="00BB1A5E">
      <w:pPr>
        <w:pStyle w:val="NormalWeb"/>
        <w:spacing w:before="0" w:beforeAutospacing="0" w:after="0" w:afterAutospacing="0"/>
        <w:contextualSpacing/>
        <w:jc w:val="both"/>
        <w:rPr>
          <w:rFonts w:asciiTheme="minorHAnsi" w:hAnsiTheme="minorHAnsi"/>
          <w:sz w:val="22"/>
          <w:szCs w:val="22"/>
        </w:rPr>
      </w:pPr>
      <w:bookmarkStart w:id="163" w:name="_Ref263582305"/>
      <w:bookmarkStart w:id="164" w:name="_Toc263165489"/>
      <w:r>
        <w:rPr>
          <w:sz w:val="28"/>
          <w:szCs w:val="28"/>
        </w:rPr>
        <w:br w:type="page"/>
      </w:r>
    </w:p>
    <w:p w:rsidR="00FF5530" w:rsidRPr="00621010" w:rsidRDefault="00FF5530" w:rsidP="00621010">
      <w:pPr>
        <w:pStyle w:val="Caption"/>
        <w:contextualSpacing/>
        <w:jc w:val="center"/>
        <w:rPr>
          <w:sz w:val="22"/>
          <w:szCs w:val="22"/>
        </w:rPr>
      </w:pPr>
      <w:bookmarkStart w:id="165" w:name="_Toc26367174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86</w:t>
      </w:r>
      <w:r w:rsidR="00D50FDC" w:rsidRPr="00C95F78">
        <w:rPr>
          <w:sz w:val="28"/>
          <w:szCs w:val="28"/>
        </w:rPr>
        <w:fldChar w:fldCharType="end"/>
      </w:r>
      <w:bookmarkEnd w:id="163"/>
      <w:r w:rsidRPr="00C95F78">
        <w:rPr>
          <w:sz w:val="28"/>
          <w:szCs w:val="28"/>
        </w:rPr>
        <w:t xml:space="preserve">: Schematic of a Carbon Capture and Storage </w:t>
      </w:r>
      <w:r w:rsidRPr="00621010">
        <w:rPr>
          <w:sz w:val="28"/>
          <w:szCs w:val="28"/>
        </w:rPr>
        <w:t>Options</w:t>
      </w:r>
      <w:r w:rsidRPr="00621010">
        <w:rPr>
          <w:rStyle w:val="FootnoteReference"/>
          <w:sz w:val="22"/>
          <w:szCs w:val="22"/>
        </w:rPr>
        <w:footnoteReference w:id="27"/>
      </w:r>
      <w:bookmarkEnd w:id="164"/>
      <w:bookmarkEnd w:id="165"/>
    </w:p>
    <w:p w:rsidR="00FF5530" w:rsidRPr="00C95F78" w:rsidRDefault="00FF5530" w:rsidP="00621010">
      <w:pPr>
        <w:autoSpaceDE w:val="0"/>
        <w:autoSpaceDN w:val="0"/>
        <w:adjustRightInd w:val="0"/>
        <w:spacing w:after="0" w:line="240" w:lineRule="auto"/>
        <w:contextualSpacing/>
        <w:jc w:val="center"/>
      </w:pPr>
      <w:r w:rsidRPr="00C95F78">
        <w:rPr>
          <w:noProof/>
          <w:lang w:val="en-US"/>
        </w:rPr>
        <w:drawing>
          <wp:inline distT="0" distB="0" distL="0" distR="0">
            <wp:extent cx="4934437" cy="3486150"/>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l="-4605" t="33131"/>
                    <a:stretch>
                      <a:fillRect/>
                    </a:stretch>
                  </pic:blipFill>
                  <pic:spPr bwMode="auto">
                    <a:xfrm>
                      <a:off x="0" y="0"/>
                      <a:ext cx="4934437" cy="3486150"/>
                    </a:xfrm>
                    <a:prstGeom prst="rect">
                      <a:avLst/>
                    </a:prstGeom>
                    <a:noFill/>
                    <a:ln w="9525">
                      <a:noFill/>
                      <a:miter lim="800000"/>
                      <a:headEnd/>
                      <a:tailEnd/>
                    </a:ln>
                  </pic:spPr>
                </pic:pic>
              </a:graphicData>
            </a:graphic>
          </wp:inline>
        </w:drawing>
      </w:r>
    </w:p>
    <w:p w:rsidR="00FF5530" w:rsidRPr="00C95F78" w:rsidRDefault="00FF5530" w:rsidP="00BB1A5E">
      <w:pPr>
        <w:autoSpaceDE w:val="0"/>
        <w:autoSpaceDN w:val="0"/>
        <w:adjustRightInd w:val="0"/>
        <w:spacing w:after="0" w:line="240" w:lineRule="auto"/>
        <w:contextualSpacing/>
        <w:jc w:val="both"/>
      </w:pPr>
    </w:p>
    <w:p w:rsidR="00FF5530" w:rsidRPr="00C95F78" w:rsidRDefault="00FF5530" w:rsidP="00BB1A5E">
      <w:pPr>
        <w:autoSpaceDE w:val="0"/>
        <w:autoSpaceDN w:val="0"/>
        <w:adjustRightInd w:val="0"/>
        <w:spacing w:after="0" w:line="240" w:lineRule="auto"/>
        <w:contextualSpacing/>
        <w:jc w:val="both"/>
      </w:pPr>
    </w:p>
    <w:p w:rsidR="003B51B2" w:rsidRPr="00621010" w:rsidRDefault="003B51B2" w:rsidP="00621010">
      <w:pPr>
        <w:pStyle w:val="Caption"/>
        <w:contextualSpacing/>
        <w:jc w:val="center"/>
        <w:rPr>
          <w:sz w:val="22"/>
          <w:szCs w:val="22"/>
        </w:rPr>
      </w:pPr>
      <w:bookmarkStart w:id="166" w:name="_Toc263165488"/>
      <w:bookmarkStart w:id="167" w:name="_Toc26367174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87</w:t>
      </w:r>
      <w:r w:rsidR="00D50FDC" w:rsidRPr="00C95F78">
        <w:rPr>
          <w:sz w:val="28"/>
          <w:szCs w:val="28"/>
        </w:rPr>
        <w:fldChar w:fldCharType="end"/>
      </w:r>
      <w:r w:rsidRPr="00C95F78">
        <w:rPr>
          <w:sz w:val="28"/>
          <w:szCs w:val="28"/>
        </w:rPr>
        <w:t xml:space="preserve">: Main Routes to Carbon </w:t>
      </w:r>
      <w:r w:rsidRPr="00621010">
        <w:rPr>
          <w:sz w:val="28"/>
          <w:szCs w:val="28"/>
        </w:rPr>
        <w:t>Capture</w:t>
      </w:r>
      <w:r w:rsidRPr="00621010">
        <w:rPr>
          <w:rStyle w:val="FootnoteReference"/>
          <w:sz w:val="22"/>
          <w:szCs w:val="22"/>
        </w:rPr>
        <w:footnoteReference w:id="28"/>
      </w:r>
      <w:bookmarkEnd w:id="166"/>
      <w:bookmarkEnd w:id="167"/>
    </w:p>
    <w:p w:rsidR="003B51B2" w:rsidRPr="00C95F78" w:rsidRDefault="003B51B2" w:rsidP="00621010">
      <w:pPr>
        <w:autoSpaceDE w:val="0"/>
        <w:autoSpaceDN w:val="0"/>
        <w:adjustRightInd w:val="0"/>
        <w:spacing w:after="0" w:line="240" w:lineRule="auto"/>
        <w:contextualSpacing/>
        <w:jc w:val="center"/>
      </w:pPr>
      <w:r w:rsidRPr="00C95F78">
        <w:rPr>
          <w:noProof/>
          <w:lang w:val="en-US"/>
        </w:rPr>
        <w:drawing>
          <wp:inline distT="0" distB="0" distL="0" distR="0">
            <wp:extent cx="5727700" cy="3637940"/>
            <wp:effectExtent l="19050" t="0" r="6350"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srcRect t="3110"/>
                    <a:stretch>
                      <a:fillRect/>
                    </a:stretch>
                  </pic:blipFill>
                  <pic:spPr bwMode="auto">
                    <a:xfrm>
                      <a:off x="0" y="0"/>
                      <a:ext cx="5727700" cy="3637940"/>
                    </a:xfrm>
                    <a:prstGeom prst="rect">
                      <a:avLst/>
                    </a:prstGeom>
                    <a:noFill/>
                    <a:ln w="9525">
                      <a:noFill/>
                      <a:miter lim="800000"/>
                      <a:headEnd/>
                      <a:tailEnd/>
                    </a:ln>
                  </pic:spPr>
                </pic:pic>
              </a:graphicData>
            </a:graphic>
          </wp:inline>
        </w:drawing>
      </w:r>
    </w:p>
    <w:p w:rsidR="00D702A0" w:rsidRDefault="00D702A0" w:rsidP="00BB1A5E">
      <w:pPr>
        <w:pStyle w:val="NormalWeb"/>
        <w:spacing w:before="0" w:beforeAutospacing="0" w:after="0" w:afterAutospacing="0"/>
        <w:contextualSpacing/>
        <w:jc w:val="both"/>
        <w:rPr>
          <w:rStyle w:val="Strong"/>
          <w:rFonts w:asciiTheme="minorHAnsi" w:eastAsiaTheme="majorEastAsia" w:hAnsiTheme="minorHAnsi"/>
          <w:sz w:val="22"/>
          <w:szCs w:val="22"/>
        </w:rPr>
      </w:pPr>
    </w:p>
    <w:p w:rsidR="00D13525" w:rsidRPr="00D702A0" w:rsidRDefault="00D13525" w:rsidP="00BB1A5E">
      <w:pPr>
        <w:autoSpaceDE w:val="0"/>
        <w:autoSpaceDN w:val="0"/>
        <w:adjustRightInd w:val="0"/>
        <w:spacing w:after="0" w:line="240" w:lineRule="auto"/>
        <w:contextualSpacing/>
        <w:jc w:val="both"/>
        <w:rPr>
          <w:b/>
          <w:color w:val="365F91" w:themeColor="accent1" w:themeShade="BF"/>
          <w:sz w:val="24"/>
          <w:szCs w:val="24"/>
        </w:rPr>
      </w:pPr>
      <w:r w:rsidRPr="00D702A0">
        <w:rPr>
          <w:b/>
          <w:color w:val="365F91" w:themeColor="accent1" w:themeShade="BF"/>
          <w:sz w:val="24"/>
          <w:szCs w:val="24"/>
        </w:rPr>
        <w:t>CO</w:t>
      </w:r>
      <w:r w:rsidRPr="00D702A0">
        <w:rPr>
          <w:b/>
          <w:color w:val="365F91" w:themeColor="accent1" w:themeShade="BF"/>
          <w:sz w:val="24"/>
          <w:szCs w:val="24"/>
          <w:vertAlign w:val="subscript"/>
        </w:rPr>
        <w:t>2</w:t>
      </w:r>
      <w:r>
        <w:rPr>
          <w:b/>
          <w:color w:val="365F91" w:themeColor="accent1" w:themeShade="BF"/>
          <w:sz w:val="24"/>
          <w:szCs w:val="24"/>
        </w:rPr>
        <w:t xml:space="preserve"> Capture</w:t>
      </w:r>
    </w:p>
    <w:p w:rsidR="00D13525" w:rsidRDefault="00D13525" w:rsidP="00BB1A5E">
      <w:pPr>
        <w:autoSpaceDE w:val="0"/>
        <w:autoSpaceDN w:val="0"/>
        <w:adjustRightInd w:val="0"/>
        <w:spacing w:after="0" w:line="240" w:lineRule="auto"/>
        <w:jc w:val="both"/>
        <w:rPr>
          <w:rFonts w:cs="Arial"/>
        </w:rPr>
      </w:pPr>
    </w:p>
    <w:p w:rsidR="00D13525" w:rsidRPr="00C95F78" w:rsidRDefault="00D13525" w:rsidP="00BB1A5E">
      <w:pPr>
        <w:autoSpaceDE w:val="0"/>
        <w:autoSpaceDN w:val="0"/>
        <w:adjustRightInd w:val="0"/>
        <w:spacing w:after="0" w:line="240" w:lineRule="auto"/>
        <w:jc w:val="both"/>
        <w:rPr>
          <w:rFonts w:cs="Arial"/>
        </w:rPr>
      </w:pPr>
      <w:r>
        <w:rPr>
          <w:rFonts w:cs="Arial"/>
        </w:rPr>
        <w:t xml:space="preserve">The capture and compression technologies for </w:t>
      </w:r>
      <w:r w:rsidRPr="00D702A0">
        <w:t>CO</w:t>
      </w:r>
      <w:r w:rsidRPr="00D702A0">
        <w:rPr>
          <w:vertAlign w:val="subscript"/>
        </w:rPr>
        <w:t>2</w:t>
      </w:r>
      <w:r>
        <w:rPr>
          <w:vertAlign w:val="subscript"/>
        </w:rPr>
        <w:t xml:space="preserve"> </w:t>
      </w:r>
      <w:r w:rsidRPr="00D702A0">
        <w:rPr>
          <w:rFonts w:cs="Arial"/>
        </w:rPr>
        <w:t xml:space="preserve">form the </w:t>
      </w:r>
      <w:r w:rsidRPr="00C95F78">
        <w:rPr>
          <w:rFonts w:cs="Arial"/>
        </w:rPr>
        <w:t>foundation that underpins the global deployment of commercial scale CCS projects</w:t>
      </w:r>
      <w:r>
        <w:rPr>
          <w:rFonts w:cs="Arial"/>
        </w:rPr>
        <w:t xml:space="preserve">. It is also highly costly. </w:t>
      </w:r>
      <w:r w:rsidRPr="00C95F78">
        <w:rPr>
          <w:rFonts w:cs="Arial"/>
        </w:rPr>
        <w:t>Currently, there are three main routes to carbon capture:</w:t>
      </w:r>
      <w:r>
        <w:rPr>
          <w:rFonts w:cs="Arial"/>
        </w:rPr>
        <w:t xml:space="preserve"> a) post combustion, b) pre-combustion and c) oxyfuel.</w:t>
      </w:r>
    </w:p>
    <w:p w:rsidR="00D13525" w:rsidRDefault="00D13525" w:rsidP="00BB1A5E">
      <w:pPr>
        <w:autoSpaceDE w:val="0"/>
        <w:autoSpaceDN w:val="0"/>
        <w:adjustRightInd w:val="0"/>
        <w:spacing w:after="0" w:line="240" w:lineRule="auto"/>
        <w:jc w:val="both"/>
        <w:rPr>
          <w:rFonts w:cs="Arial"/>
        </w:rPr>
      </w:pPr>
    </w:p>
    <w:p w:rsidR="00D13525" w:rsidRPr="00C95F78" w:rsidRDefault="00D13525" w:rsidP="00BB1A5E">
      <w:pPr>
        <w:pStyle w:val="NormalWeb"/>
        <w:spacing w:before="0" w:beforeAutospacing="0" w:after="0" w:afterAutospacing="0"/>
        <w:contextualSpacing/>
        <w:jc w:val="both"/>
        <w:rPr>
          <w:rFonts w:asciiTheme="minorHAnsi" w:hAnsiTheme="minorHAnsi"/>
          <w:sz w:val="22"/>
          <w:szCs w:val="22"/>
        </w:rPr>
      </w:pPr>
      <w:r>
        <w:rPr>
          <w:rStyle w:val="Strong"/>
          <w:rFonts w:asciiTheme="minorHAnsi" w:eastAsiaTheme="majorEastAsia" w:hAnsiTheme="minorHAnsi"/>
          <w:sz w:val="22"/>
          <w:szCs w:val="22"/>
        </w:rPr>
        <w:t>Post-Combustion C</w:t>
      </w:r>
      <w:r w:rsidRPr="00C95F78">
        <w:rPr>
          <w:rStyle w:val="Strong"/>
          <w:rFonts w:asciiTheme="minorHAnsi" w:eastAsiaTheme="majorEastAsia" w:hAnsiTheme="minorHAnsi"/>
          <w:sz w:val="22"/>
          <w:szCs w:val="22"/>
        </w:rPr>
        <w:t>apture</w:t>
      </w:r>
      <w:r>
        <w:rPr>
          <w:rStyle w:val="Strong"/>
          <w:rFonts w:asciiTheme="minorHAnsi" w:eastAsiaTheme="majorEastAsia" w:hAnsiTheme="minorHAnsi"/>
          <w:sz w:val="22"/>
          <w:szCs w:val="22"/>
        </w:rPr>
        <w:t xml:space="preserve">: </w:t>
      </w:r>
      <w:r w:rsidRPr="00D702A0">
        <w:rPr>
          <w:rStyle w:val="Strong"/>
          <w:rFonts w:asciiTheme="minorHAnsi" w:eastAsiaTheme="majorEastAsia" w:hAnsiTheme="minorHAnsi"/>
          <w:b w:val="0"/>
          <w:sz w:val="22"/>
          <w:szCs w:val="22"/>
        </w:rPr>
        <w:t>This</w:t>
      </w:r>
      <w:r w:rsidRPr="00C95F78">
        <w:rPr>
          <w:rFonts w:asciiTheme="minorHAnsi" w:hAnsiTheme="minorHAnsi"/>
          <w:sz w:val="22"/>
          <w:szCs w:val="22"/>
        </w:rPr>
        <w:t xml:space="preserve"> involves separating the CO</w:t>
      </w:r>
      <w:r w:rsidRPr="00C95F78">
        <w:rPr>
          <w:rFonts w:asciiTheme="minorHAnsi" w:hAnsiTheme="minorHAnsi"/>
          <w:sz w:val="22"/>
          <w:szCs w:val="22"/>
          <w:vertAlign w:val="subscript"/>
        </w:rPr>
        <w:t>2</w:t>
      </w:r>
      <w:r w:rsidRPr="00C95F78">
        <w:rPr>
          <w:rFonts w:asciiTheme="minorHAnsi" w:hAnsiTheme="minorHAnsi"/>
          <w:sz w:val="22"/>
          <w:szCs w:val="22"/>
        </w:rPr>
        <w:t xml:space="preserve"> from other exhaust gases after combustion of the fossil fuel. Post-combustion capture systems are similar to those that already remove pollutants such as particulates, sulphur oxides and nitrogen oxides from many power plants.</w:t>
      </w:r>
    </w:p>
    <w:p w:rsidR="00D13525" w:rsidRPr="00C95F78" w:rsidRDefault="00D13525" w:rsidP="00BB1A5E">
      <w:pPr>
        <w:pStyle w:val="NormalWeb"/>
        <w:spacing w:before="0" w:beforeAutospacing="0" w:after="0" w:afterAutospacing="0"/>
        <w:contextualSpacing/>
        <w:jc w:val="both"/>
        <w:rPr>
          <w:rFonts w:asciiTheme="minorHAnsi" w:hAnsiTheme="minorHAnsi"/>
          <w:sz w:val="22"/>
          <w:szCs w:val="22"/>
        </w:rPr>
      </w:pPr>
    </w:p>
    <w:p w:rsidR="00D13525" w:rsidRDefault="00D13525" w:rsidP="00BB1A5E">
      <w:pPr>
        <w:pStyle w:val="NormalWeb"/>
        <w:spacing w:before="0" w:beforeAutospacing="0" w:after="0" w:afterAutospacing="0"/>
        <w:jc w:val="both"/>
        <w:rPr>
          <w:rFonts w:asciiTheme="minorHAnsi" w:hAnsiTheme="minorHAnsi"/>
          <w:sz w:val="22"/>
          <w:szCs w:val="22"/>
        </w:rPr>
      </w:pPr>
      <w:r>
        <w:rPr>
          <w:rFonts w:asciiTheme="minorHAnsi" w:hAnsiTheme="minorHAnsi"/>
          <w:b/>
          <w:bCs/>
          <w:sz w:val="22"/>
          <w:szCs w:val="22"/>
        </w:rPr>
        <w:t>Pre-Combustion C</w:t>
      </w:r>
      <w:r w:rsidRPr="00C95F78">
        <w:rPr>
          <w:rFonts w:asciiTheme="minorHAnsi" w:hAnsiTheme="minorHAnsi"/>
          <w:b/>
          <w:bCs/>
          <w:sz w:val="22"/>
          <w:szCs w:val="22"/>
        </w:rPr>
        <w:t>apture</w:t>
      </w:r>
      <w:r>
        <w:rPr>
          <w:rFonts w:asciiTheme="minorHAnsi" w:hAnsiTheme="minorHAnsi"/>
          <w:b/>
          <w:bCs/>
          <w:sz w:val="22"/>
          <w:szCs w:val="22"/>
        </w:rPr>
        <w:t xml:space="preserve">: </w:t>
      </w:r>
      <w:r>
        <w:rPr>
          <w:rFonts w:asciiTheme="minorHAnsi" w:hAnsiTheme="minorHAnsi"/>
          <w:bCs/>
          <w:sz w:val="22"/>
          <w:szCs w:val="22"/>
        </w:rPr>
        <w:t>This</w:t>
      </w:r>
      <w:r w:rsidRPr="00C95F78">
        <w:rPr>
          <w:rFonts w:asciiTheme="minorHAnsi" w:hAnsiTheme="minorHAnsi"/>
          <w:sz w:val="22"/>
          <w:szCs w:val="22"/>
        </w:rPr>
        <w:t xml:space="preserve"> involves separating CO</w:t>
      </w:r>
      <w:r w:rsidRPr="00C95F78">
        <w:rPr>
          <w:rFonts w:asciiTheme="minorHAnsi" w:hAnsiTheme="minorHAnsi"/>
          <w:sz w:val="22"/>
          <w:szCs w:val="22"/>
          <w:vertAlign w:val="subscript"/>
        </w:rPr>
        <w:t>2</w:t>
      </w:r>
      <w:r w:rsidRPr="00C95F78">
        <w:rPr>
          <w:rFonts w:asciiTheme="minorHAnsi" w:hAnsiTheme="minorHAnsi"/>
          <w:sz w:val="22"/>
          <w:szCs w:val="22"/>
        </w:rPr>
        <w:t xml:space="preserve"> before the fuel is burned. Solid or liquid fuels such as coal, biomass or petroleum products are first gasified in a chemical reaction at very high temperatures with a controlled amount of oxygen. Gasification produces two gases, hydrogen and carbon monoxide (CO). The CO is converted to CO</w:t>
      </w:r>
      <w:r w:rsidRPr="00C95F78">
        <w:rPr>
          <w:rFonts w:asciiTheme="minorHAnsi" w:hAnsiTheme="minorHAnsi"/>
          <w:sz w:val="22"/>
          <w:szCs w:val="22"/>
          <w:vertAlign w:val="subscript"/>
        </w:rPr>
        <w:t>2</w:t>
      </w:r>
      <w:r w:rsidRPr="00C95F78">
        <w:rPr>
          <w:rFonts w:asciiTheme="minorHAnsi" w:hAnsiTheme="minorHAnsi"/>
          <w:sz w:val="22"/>
          <w:szCs w:val="22"/>
        </w:rPr>
        <w:t xml:space="preserve"> and removed, leaving pure hydrogen to be burned to produce electricity or used for another purpose</w:t>
      </w:r>
      <w:r>
        <w:rPr>
          <w:rFonts w:asciiTheme="minorHAnsi" w:hAnsiTheme="minorHAnsi"/>
          <w:sz w:val="22"/>
          <w:szCs w:val="22"/>
        </w:rPr>
        <w:t xml:space="preserve">. </w:t>
      </w:r>
      <w:r w:rsidRPr="00C95F78">
        <w:rPr>
          <w:rFonts w:asciiTheme="minorHAnsi" w:hAnsiTheme="minorHAnsi"/>
          <w:sz w:val="22"/>
          <w:szCs w:val="22"/>
        </w:rPr>
        <w:t>The hydrogen can be used to generate power in an advanced gas turbine and steam cycle or in fuels cells</w:t>
      </w:r>
      <w:r>
        <w:rPr>
          <w:rFonts w:asciiTheme="minorHAnsi" w:hAnsiTheme="minorHAnsi"/>
          <w:sz w:val="22"/>
          <w:szCs w:val="22"/>
        </w:rPr>
        <w:t>,</w:t>
      </w:r>
      <w:r w:rsidRPr="00C95F78">
        <w:rPr>
          <w:rFonts w:asciiTheme="minorHAnsi" w:hAnsiTheme="minorHAnsi"/>
          <w:sz w:val="22"/>
          <w:szCs w:val="22"/>
        </w:rPr>
        <w:t xml:space="preserve"> or a combination of both.</w:t>
      </w:r>
    </w:p>
    <w:p w:rsidR="00D13525" w:rsidRDefault="00D13525" w:rsidP="00BB1A5E">
      <w:pPr>
        <w:pStyle w:val="NormalWeb"/>
        <w:spacing w:before="0" w:beforeAutospacing="0" w:after="0" w:afterAutospacing="0"/>
        <w:jc w:val="both"/>
        <w:rPr>
          <w:rFonts w:asciiTheme="minorHAnsi" w:hAnsiTheme="minorHAnsi"/>
          <w:sz w:val="22"/>
          <w:szCs w:val="22"/>
        </w:rPr>
      </w:pPr>
    </w:p>
    <w:p w:rsidR="003B51B2" w:rsidRDefault="003C0D7F" w:rsidP="00BB1A5E">
      <w:pPr>
        <w:pStyle w:val="NormalWeb"/>
        <w:spacing w:before="0" w:beforeAutospacing="0" w:after="0" w:afterAutospacing="0"/>
        <w:jc w:val="both"/>
        <w:rPr>
          <w:rFonts w:asciiTheme="minorHAnsi" w:hAnsiTheme="minorHAnsi"/>
          <w:sz w:val="22"/>
          <w:szCs w:val="22"/>
        </w:rPr>
      </w:pPr>
      <w:r>
        <w:rPr>
          <w:rFonts w:asciiTheme="minorHAnsi" w:hAnsiTheme="minorHAnsi"/>
          <w:b/>
          <w:bCs/>
          <w:sz w:val="22"/>
          <w:szCs w:val="22"/>
        </w:rPr>
        <w:t>Oxyfuel C</w:t>
      </w:r>
      <w:r w:rsidR="003B51B2" w:rsidRPr="00C95F78">
        <w:rPr>
          <w:rFonts w:asciiTheme="minorHAnsi" w:hAnsiTheme="minorHAnsi"/>
          <w:b/>
          <w:bCs/>
          <w:sz w:val="22"/>
          <w:szCs w:val="22"/>
        </w:rPr>
        <w:t>ombustion</w:t>
      </w:r>
      <w:r>
        <w:rPr>
          <w:rFonts w:asciiTheme="minorHAnsi" w:hAnsiTheme="minorHAnsi"/>
          <w:b/>
          <w:bCs/>
          <w:sz w:val="22"/>
          <w:szCs w:val="22"/>
        </w:rPr>
        <w:t xml:space="preserve">: </w:t>
      </w:r>
      <w:r>
        <w:rPr>
          <w:rFonts w:asciiTheme="minorHAnsi" w:hAnsiTheme="minorHAnsi"/>
          <w:bCs/>
          <w:sz w:val="22"/>
          <w:szCs w:val="22"/>
        </w:rPr>
        <w:t>This</w:t>
      </w:r>
      <w:r w:rsidR="003B51B2" w:rsidRPr="00C95F78">
        <w:rPr>
          <w:rFonts w:asciiTheme="minorHAnsi" w:hAnsiTheme="minorHAnsi"/>
          <w:sz w:val="22"/>
          <w:szCs w:val="22"/>
        </w:rPr>
        <w:t xml:space="preserve"> involves the combustion of coal in pure oxygen, rather than air, to fuel a conventional steam generator. By avoiding the introduction of</w:t>
      </w:r>
      <w:r w:rsidR="003B51B2" w:rsidRPr="00C95F78">
        <w:rPr>
          <w:rFonts w:asciiTheme="minorHAnsi" w:hAnsiTheme="minorHAnsi"/>
        </w:rPr>
        <w:t xml:space="preserve"> </w:t>
      </w:r>
      <w:r w:rsidR="003B51B2" w:rsidRPr="00C95F78">
        <w:rPr>
          <w:rFonts w:asciiTheme="minorHAnsi" w:hAnsiTheme="minorHAnsi"/>
          <w:sz w:val="22"/>
          <w:szCs w:val="22"/>
        </w:rPr>
        <w:t>nitrogen into the combustion chamber, the amount of CO</w:t>
      </w:r>
      <w:r w:rsidR="003B51B2" w:rsidRPr="00C95F78">
        <w:rPr>
          <w:rFonts w:asciiTheme="minorHAnsi" w:hAnsiTheme="minorHAnsi"/>
          <w:sz w:val="22"/>
          <w:szCs w:val="22"/>
          <w:vertAlign w:val="subscript"/>
        </w:rPr>
        <w:t>2</w:t>
      </w:r>
      <w:r w:rsidR="003B51B2" w:rsidRPr="00C95F78">
        <w:rPr>
          <w:rFonts w:asciiTheme="minorHAnsi" w:hAnsiTheme="minorHAnsi"/>
          <w:sz w:val="22"/>
          <w:szCs w:val="22"/>
        </w:rPr>
        <w:t xml:space="preserve"> in the power station exhaust stream is greatly concentrated, making it easier to capture and compress. Oxyfuel combustion with CO</w:t>
      </w:r>
      <w:r w:rsidR="003B51B2" w:rsidRPr="00C95F78">
        <w:rPr>
          <w:rFonts w:asciiTheme="minorHAnsi" w:hAnsiTheme="minorHAnsi"/>
          <w:sz w:val="22"/>
          <w:szCs w:val="22"/>
          <w:vertAlign w:val="subscript"/>
        </w:rPr>
        <w:t>2</w:t>
      </w:r>
      <w:r w:rsidR="003B51B2" w:rsidRPr="00C95F78">
        <w:rPr>
          <w:rFonts w:asciiTheme="minorHAnsi" w:hAnsiTheme="minorHAnsi"/>
          <w:sz w:val="22"/>
          <w:szCs w:val="22"/>
        </w:rPr>
        <w:t xml:space="preserve"> storage is currently at the demonstration phase.</w:t>
      </w:r>
    </w:p>
    <w:p w:rsidR="00D702A0" w:rsidRDefault="00D702A0" w:rsidP="00BB1A5E">
      <w:pPr>
        <w:pStyle w:val="NormalWeb"/>
        <w:spacing w:before="0" w:beforeAutospacing="0" w:after="0" w:afterAutospacing="0"/>
        <w:jc w:val="both"/>
        <w:rPr>
          <w:rFonts w:asciiTheme="minorHAnsi" w:hAnsiTheme="minorHAnsi"/>
          <w:sz w:val="22"/>
          <w:szCs w:val="22"/>
        </w:rPr>
      </w:pPr>
    </w:p>
    <w:p w:rsidR="003C0D7F" w:rsidRPr="00980B38" w:rsidRDefault="003C0D7F" w:rsidP="00BB1A5E">
      <w:pPr>
        <w:autoSpaceDE w:val="0"/>
        <w:autoSpaceDN w:val="0"/>
        <w:adjustRightInd w:val="0"/>
        <w:spacing w:after="0" w:line="240" w:lineRule="auto"/>
        <w:contextualSpacing/>
        <w:jc w:val="both"/>
        <w:rPr>
          <w:b/>
          <w:color w:val="365F91" w:themeColor="accent1" w:themeShade="BF"/>
          <w:sz w:val="24"/>
          <w:szCs w:val="24"/>
        </w:rPr>
      </w:pPr>
      <w:r w:rsidRPr="00980B38">
        <w:rPr>
          <w:b/>
          <w:color w:val="365F91" w:themeColor="accent1" w:themeShade="BF"/>
          <w:sz w:val="24"/>
          <w:szCs w:val="24"/>
        </w:rPr>
        <w:t>CO</w:t>
      </w:r>
      <w:r w:rsidR="00980B38" w:rsidRPr="00980B38">
        <w:rPr>
          <w:rFonts w:cs="Arial"/>
          <w:b/>
          <w:color w:val="365F91" w:themeColor="accent1" w:themeShade="BF"/>
          <w:sz w:val="24"/>
          <w:szCs w:val="24"/>
          <w:vertAlign w:val="subscript"/>
        </w:rPr>
        <w:t>2</w:t>
      </w:r>
      <w:r w:rsidRPr="00980B38">
        <w:rPr>
          <w:b/>
          <w:color w:val="365F91" w:themeColor="accent1" w:themeShade="BF"/>
          <w:sz w:val="24"/>
          <w:szCs w:val="24"/>
        </w:rPr>
        <w:t xml:space="preserve"> Transport</w:t>
      </w:r>
    </w:p>
    <w:p w:rsidR="003C0D7F" w:rsidRDefault="003C0D7F" w:rsidP="00BB1A5E">
      <w:pPr>
        <w:autoSpaceDE w:val="0"/>
        <w:autoSpaceDN w:val="0"/>
        <w:adjustRightInd w:val="0"/>
        <w:spacing w:after="0" w:line="240" w:lineRule="auto"/>
        <w:jc w:val="both"/>
        <w:rPr>
          <w:rFonts w:cs="Arial"/>
        </w:rPr>
      </w:pPr>
    </w:p>
    <w:p w:rsidR="003C0D7F" w:rsidRDefault="003C0D7F" w:rsidP="00BB1A5E">
      <w:pPr>
        <w:autoSpaceDE w:val="0"/>
        <w:autoSpaceDN w:val="0"/>
        <w:adjustRightInd w:val="0"/>
        <w:spacing w:after="0" w:line="240" w:lineRule="auto"/>
        <w:jc w:val="both"/>
        <w:rPr>
          <w:rFonts w:cs="Arial"/>
        </w:rPr>
      </w:pPr>
      <w:r>
        <w:t>At the site of carbon capture, most technologies require t</w:t>
      </w:r>
      <w:r w:rsidRPr="00C95F78">
        <w:t>he CO</w:t>
      </w:r>
      <w:r w:rsidRPr="00C95F78">
        <w:rPr>
          <w:vertAlign w:val="subscript"/>
        </w:rPr>
        <w:t>2</w:t>
      </w:r>
      <w:r>
        <w:t xml:space="preserve"> to be</w:t>
      </w:r>
      <w:r w:rsidRPr="00C95F78">
        <w:t xml:space="preserve"> compressed into a supercritical fluid </w:t>
      </w:r>
      <w:r>
        <w:t>ready for</w:t>
      </w:r>
      <w:r w:rsidRPr="00C95F78">
        <w:t xml:space="preserve"> transport and geological</w:t>
      </w:r>
      <w:r>
        <w:t xml:space="preserve"> (or other)</w:t>
      </w:r>
      <w:r w:rsidRPr="00C95F78">
        <w:t xml:space="preserve"> storage.</w:t>
      </w:r>
    </w:p>
    <w:p w:rsidR="003C0D7F" w:rsidRDefault="003C0D7F" w:rsidP="00BB1A5E">
      <w:pPr>
        <w:autoSpaceDE w:val="0"/>
        <w:autoSpaceDN w:val="0"/>
        <w:adjustRightInd w:val="0"/>
        <w:spacing w:after="0" w:line="240" w:lineRule="auto"/>
        <w:jc w:val="both"/>
        <w:rPr>
          <w:rFonts w:cs="Arial"/>
        </w:rPr>
      </w:pPr>
    </w:p>
    <w:p w:rsidR="003C0D7F" w:rsidRPr="00C95F78" w:rsidRDefault="003C0D7F" w:rsidP="00BB1A5E">
      <w:pPr>
        <w:autoSpaceDE w:val="0"/>
        <w:autoSpaceDN w:val="0"/>
        <w:adjustRightInd w:val="0"/>
        <w:spacing w:after="0" w:line="240" w:lineRule="auto"/>
        <w:jc w:val="both"/>
        <w:rPr>
          <w:rFonts w:cs="Arial"/>
        </w:rPr>
      </w:pPr>
      <w:r w:rsidRPr="00C95F78">
        <w:rPr>
          <w:rFonts w:cs="Arial"/>
        </w:rPr>
        <w:t>The technology for CO</w:t>
      </w:r>
      <w:r w:rsidRPr="00C95F78">
        <w:rPr>
          <w:rFonts w:cs="Arial"/>
          <w:vertAlign w:val="subscript"/>
        </w:rPr>
        <w:t>2</w:t>
      </w:r>
      <w:r w:rsidRPr="00C95F78">
        <w:rPr>
          <w:rFonts w:cs="Arial"/>
        </w:rPr>
        <w:t xml:space="preserve"> transportation and its environmental safety are well-established. CO</w:t>
      </w:r>
      <w:r w:rsidRPr="00C95F78">
        <w:rPr>
          <w:rFonts w:cs="Arial"/>
          <w:vertAlign w:val="subscript"/>
        </w:rPr>
        <w:t>2</w:t>
      </w:r>
      <w:r w:rsidRPr="00C95F78">
        <w:rPr>
          <w:rFonts w:cs="Arial"/>
        </w:rPr>
        <w:t xml:space="preserve"> is largely inert and easily handled and is already transported in high pressure pipelines. In the USA, CO</w:t>
      </w:r>
      <w:r w:rsidRPr="00C95F78">
        <w:rPr>
          <w:rFonts w:cs="Arial"/>
          <w:vertAlign w:val="subscript"/>
        </w:rPr>
        <w:t>2</w:t>
      </w:r>
      <w:r w:rsidRPr="00C95F78">
        <w:rPr>
          <w:rFonts w:cs="Arial"/>
        </w:rPr>
        <w:t xml:space="preserve"> is already transported by pipeline for use in Enhanced Oil Recovery (EOR).</w:t>
      </w:r>
    </w:p>
    <w:p w:rsidR="003C0D7F" w:rsidRPr="00C95F78" w:rsidRDefault="003C0D7F" w:rsidP="00BB1A5E">
      <w:pPr>
        <w:autoSpaceDE w:val="0"/>
        <w:autoSpaceDN w:val="0"/>
        <w:adjustRightInd w:val="0"/>
        <w:spacing w:after="0" w:line="240" w:lineRule="auto"/>
        <w:jc w:val="both"/>
        <w:rPr>
          <w:rFonts w:cs="Arial"/>
        </w:rPr>
      </w:pPr>
    </w:p>
    <w:p w:rsidR="003C0D7F" w:rsidRDefault="003C0D7F" w:rsidP="00BB1A5E">
      <w:pPr>
        <w:autoSpaceDE w:val="0"/>
        <w:autoSpaceDN w:val="0"/>
        <w:adjustRightInd w:val="0"/>
        <w:spacing w:after="0" w:line="240" w:lineRule="auto"/>
        <w:jc w:val="both"/>
        <w:rPr>
          <w:rFonts w:cs="Arial"/>
        </w:rPr>
      </w:pPr>
      <w:r w:rsidRPr="00C95F78">
        <w:rPr>
          <w:rFonts w:cs="Arial"/>
        </w:rPr>
        <w:t>The means of transport depends on the quantity of CO</w:t>
      </w:r>
      <w:r w:rsidRPr="00C95F78">
        <w:rPr>
          <w:rFonts w:cs="Arial"/>
          <w:vertAlign w:val="subscript"/>
        </w:rPr>
        <w:t>2</w:t>
      </w:r>
      <w:r w:rsidRPr="00C95F78">
        <w:rPr>
          <w:rFonts w:cs="Arial"/>
        </w:rPr>
        <w:t xml:space="preserve"> to be transported, the terrain and the distance between the capture plant and storage site. In general, pipelines are used for large volumes over shorter distances. In some situations or locations, transport of CO</w:t>
      </w:r>
      <w:r w:rsidRPr="00C95F78">
        <w:rPr>
          <w:rFonts w:cs="Arial"/>
          <w:vertAlign w:val="subscript"/>
        </w:rPr>
        <w:t>2</w:t>
      </w:r>
      <w:r w:rsidRPr="00C95F78">
        <w:rPr>
          <w:rFonts w:cs="Arial"/>
        </w:rPr>
        <w:t xml:space="preserve"> by ship may be more economic, particularly when the CO</w:t>
      </w:r>
      <w:r w:rsidRPr="00C95F78">
        <w:rPr>
          <w:rFonts w:cs="Arial"/>
          <w:vertAlign w:val="subscript"/>
        </w:rPr>
        <w:t>2</w:t>
      </w:r>
      <w:r w:rsidRPr="00C95F78">
        <w:rPr>
          <w:rFonts w:cs="Arial"/>
        </w:rPr>
        <w:t xml:space="preserve"> has to be moved over large distances or overseas.</w:t>
      </w:r>
      <w:r>
        <w:rPr>
          <w:rFonts w:cs="Arial"/>
        </w:rPr>
        <w:t xml:space="preserve"> Land transport is expensive, and likely to be employed only in small and demonstration projects.</w:t>
      </w:r>
    </w:p>
    <w:p w:rsidR="003C0D7F" w:rsidRDefault="003C0D7F" w:rsidP="00BB1A5E">
      <w:pPr>
        <w:autoSpaceDE w:val="0"/>
        <w:autoSpaceDN w:val="0"/>
        <w:adjustRightInd w:val="0"/>
        <w:spacing w:after="0" w:line="240" w:lineRule="auto"/>
        <w:jc w:val="both"/>
        <w:rPr>
          <w:rFonts w:cs="Arial"/>
        </w:rPr>
      </w:pPr>
    </w:p>
    <w:p w:rsidR="003C0D7F" w:rsidRPr="00C95F78" w:rsidRDefault="003C0D7F" w:rsidP="00BB1A5E">
      <w:pPr>
        <w:autoSpaceDE w:val="0"/>
        <w:autoSpaceDN w:val="0"/>
        <w:adjustRightInd w:val="0"/>
        <w:spacing w:after="0" w:line="240" w:lineRule="auto"/>
        <w:jc w:val="both"/>
        <w:rPr>
          <w:rFonts w:cs="Arial"/>
        </w:rPr>
      </w:pPr>
      <w:r>
        <w:rPr>
          <w:rFonts w:cs="Arial"/>
        </w:rPr>
        <w:t xml:space="preserve">Sea transport of </w:t>
      </w:r>
      <w:r w:rsidRPr="00C95F78">
        <w:rPr>
          <w:rFonts w:cs="Arial"/>
        </w:rPr>
        <w:t>CO</w:t>
      </w:r>
      <w:r w:rsidRPr="00C95F78">
        <w:rPr>
          <w:rFonts w:cs="Arial"/>
          <w:vertAlign w:val="subscript"/>
        </w:rPr>
        <w:t>2</w:t>
      </w:r>
      <w:r>
        <w:rPr>
          <w:rFonts w:cs="Arial"/>
          <w:vertAlign w:val="subscript"/>
        </w:rPr>
        <w:t xml:space="preserve"> </w:t>
      </w:r>
      <w:r w:rsidRPr="003C0D7F">
        <w:rPr>
          <w:rFonts w:cs="Arial"/>
        </w:rPr>
        <w:t xml:space="preserve">has not yet been developed. </w:t>
      </w:r>
      <w:r>
        <w:rPr>
          <w:rFonts w:cs="Arial"/>
        </w:rPr>
        <w:t xml:space="preserve">As the vessels required would be similar to those currently used to transport </w:t>
      </w:r>
      <w:r w:rsidR="00980B38">
        <w:rPr>
          <w:rFonts w:cs="Arial"/>
        </w:rPr>
        <w:t xml:space="preserve">LNG or LPG, it is thought that this could be developed as a transport method for </w:t>
      </w:r>
      <w:r w:rsidR="00980B38" w:rsidRPr="00C95F78">
        <w:rPr>
          <w:rFonts w:cs="Arial"/>
        </w:rPr>
        <w:t>CO</w:t>
      </w:r>
      <w:r w:rsidR="00980B38" w:rsidRPr="00C95F78">
        <w:rPr>
          <w:rFonts w:cs="Arial"/>
          <w:vertAlign w:val="subscript"/>
        </w:rPr>
        <w:t>2</w:t>
      </w:r>
      <w:r w:rsidR="00980B38">
        <w:rPr>
          <w:rFonts w:cs="Arial"/>
          <w:vertAlign w:val="subscript"/>
        </w:rPr>
        <w:t xml:space="preserve"> </w:t>
      </w:r>
      <w:r w:rsidR="00980B38">
        <w:rPr>
          <w:rFonts w:cs="Arial"/>
        </w:rPr>
        <w:t>quite easily.</w:t>
      </w:r>
    </w:p>
    <w:p w:rsidR="003C0D7F" w:rsidRPr="00980B38" w:rsidRDefault="003C0D7F" w:rsidP="00BB1A5E">
      <w:pPr>
        <w:pStyle w:val="ListParagraph"/>
        <w:autoSpaceDE w:val="0"/>
        <w:autoSpaceDN w:val="0"/>
        <w:adjustRightInd w:val="0"/>
        <w:spacing w:after="0" w:line="240" w:lineRule="auto"/>
        <w:ind w:left="0"/>
        <w:jc w:val="both"/>
        <w:rPr>
          <w:rFonts w:cs="Arial"/>
        </w:rPr>
      </w:pPr>
    </w:p>
    <w:p w:rsidR="003C0D7F" w:rsidRPr="003C0D7F" w:rsidRDefault="00980B38" w:rsidP="00BB1A5E">
      <w:pPr>
        <w:pStyle w:val="ListParagraph"/>
        <w:autoSpaceDE w:val="0"/>
        <w:autoSpaceDN w:val="0"/>
        <w:adjustRightInd w:val="0"/>
        <w:spacing w:after="0" w:line="240" w:lineRule="auto"/>
        <w:ind w:left="0"/>
        <w:jc w:val="both"/>
        <w:rPr>
          <w:rFonts w:cs="Arial"/>
        </w:rPr>
      </w:pPr>
      <w:r w:rsidRPr="00980B38">
        <w:rPr>
          <w:rFonts w:cs="Arial"/>
        </w:rPr>
        <w:t xml:space="preserve">Whatever the </w:t>
      </w:r>
      <w:r w:rsidR="009438A1">
        <w:rPr>
          <w:rFonts w:cs="Arial"/>
        </w:rPr>
        <w:t xml:space="preserve">mode of transport chosen, </w:t>
      </w:r>
      <w:r>
        <w:rPr>
          <w:rFonts w:cs="Arial"/>
        </w:rPr>
        <w:t>accoun</w:t>
      </w:r>
      <w:r w:rsidR="009438A1">
        <w:rPr>
          <w:rFonts w:cs="Arial"/>
        </w:rPr>
        <w:t>t needs to be taken of the risk</w:t>
      </w:r>
      <w:r>
        <w:rPr>
          <w:rFonts w:cs="Arial"/>
        </w:rPr>
        <w:t xml:space="preserve"> in </w:t>
      </w:r>
      <w:r w:rsidR="009438A1">
        <w:rPr>
          <w:rFonts w:cs="Arial"/>
        </w:rPr>
        <w:t xml:space="preserve">moving </w:t>
      </w:r>
      <w:r w:rsidRPr="00C95F78">
        <w:rPr>
          <w:rFonts w:cs="Arial"/>
        </w:rPr>
        <w:t>CO</w:t>
      </w:r>
      <w:r w:rsidRPr="00C95F78">
        <w:rPr>
          <w:rFonts w:cs="Arial"/>
          <w:vertAlign w:val="subscript"/>
        </w:rPr>
        <w:t>2</w:t>
      </w:r>
      <w:r>
        <w:rPr>
          <w:rFonts w:cs="Arial"/>
        </w:rPr>
        <w:t xml:space="preserve">. </w:t>
      </w:r>
      <w:r w:rsidR="003C0D7F" w:rsidRPr="003C0D7F">
        <w:rPr>
          <w:rFonts w:cs="Arial"/>
        </w:rPr>
        <w:t>Although CO</w:t>
      </w:r>
      <w:r w:rsidR="003C0D7F" w:rsidRPr="003C0D7F">
        <w:rPr>
          <w:rFonts w:cs="Arial"/>
          <w:vertAlign w:val="subscript"/>
        </w:rPr>
        <w:t>2</w:t>
      </w:r>
      <w:r w:rsidR="003C0D7F" w:rsidRPr="003C0D7F">
        <w:rPr>
          <w:rFonts w:cs="Arial"/>
        </w:rPr>
        <w:t xml:space="preserve"> is an inert, non-flammable gas, it still has the potential to be dangerous. As CO</w:t>
      </w:r>
      <w:r w:rsidR="003C0D7F" w:rsidRPr="003C0D7F">
        <w:rPr>
          <w:rFonts w:cs="Arial"/>
          <w:vertAlign w:val="subscript"/>
        </w:rPr>
        <w:t>2</w:t>
      </w:r>
      <w:r w:rsidR="003C0D7F" w:rsidRPr="003C0D7F">
        <w:rPr>
          <w:rFonts w:cs="Arial"/>
        </w:rPr>
        <w:t xml:space="preserve"> is 1.5 times heavier than air it will displace oxygen in confined spaces (such as valleys). At high concentrations, CO</w:t>
      </w:r>
      <w:r w:rsidR="003C0D7F" w:rsidRPr="003C0D7F">
        <w:rPr>
          <w:rFonts w:cs="Arial"/>
          <w:vertAlign w:val="subscript"/>
        </w:rPr>
        <w:t>2</w:t>
      </w:r>
      <w:r w:rsidR="003C0D7F" w:rsidRPr="003C0D7F">
        <w:rPr>
          <w:rFonts w:cs="Arial"/>
        </w:rPr>
        <w:t xml:space="preserve"> can lead to a range of adverse health effects, including asphyxiation.</w:t>
      </w:r>
    </w:p>
    <w:p w:rsidR="003C0D7F" w:rsidRPr="00C95F78" w:rsidRDefault="003C0D7F" w:rsidP="00BB1A5E">
      <w:pPr>
        <w:pStyle w:val="ListParagraph"/>
        <w:autoSpaceDE w:val="0"/>
        <w:autoSpaceDN w:val="0"/>
        <w:adjustRightInd w:val="0"/>
        <w:spacing w:after="0" w:line="240" w:lineRule="auto"/>
        <w:ind w:left="0"/>
        <w:jc w:val="both"/>
        <w:rPr>
          <w:rFonts w:cs="Arial"/>
        </w:rPr>
      </w:pPr>
    </w:p>
    <w:p w:rsidR="003B51B2" w:rsidRPr="00980B38" w:rsidRDefault="003B51B2" w:rsidP="00BB1A5E">
      <w:pPr>
        <w:autoSpaceDE w:val="0"/>
        <w:autoSpaceDN w:val="0"/>
        <w:adjustRightInd w:val="0"/>
        <w:spacing w:after="0" w:line="240" w:lineRule="auto"/>
        <w:jc w:val="both"/>
        <w:rPr>
          <w:b/>
          <w:color w:val="365F91" w:themeColor="accent1" w:themeShade="BF"/>
          <w:sz w:val="24"/>
          <w:szCs w:val="24"/>
        </w:rPr>
      </w:pPr>
      <w:r w:rsidRPr="00980B38">
        <w:rPr>
          <w:b/>
          <w:color w:val="365F91" w:themeColor="accent1" w:themeShade="BF"/>
          <w:sz w:val="24"/>
          <w:szCs w:val="24"/>
        </w:rPr>
        <w:t>CO</w:t>
      </w:r>
      <w:r w:rsidRPr="00980B38">
        <w:rPr>
          <w:b/>
          <w:color w:val="365F91" w:themeColor="accent1" w:themeShade="BF"/>
          <w:sz w:val="24"/>
          <w:szCs w:val="24"/>
          <w:vertAlign w:val="subscript"/>
        </w:rPr>
        <w:t>2</w:t>
      </w:r>
      <w:r w:rsidR="00C37C8A">
        <w:rPr>
          <w:b/>
          <w:color w:val="365F91" w:themeColor="accent1" w:themeShade="BF"/>
          <w:sz w:val="24"/>
          <w:szCs w:val="24"/>
        </w:rPr>
        <w:t xml:space="preserve"> Storage</w:t>
      </w:r>
    </w:p>
    <w:p w:rsidR="00980B38" w:rsidRDefault="00980B38" w:rsidP="00BB1A5E">
      <w:pPr>
        <w:autoSpaceDE w:val="0"/>
        <w:autoSpaceDN w:val="0"/>
        <w:adjustRightInd w:val="0"/>
        <w:spacing w:after="0" w:line="240" w:lineRule="auto"/>
        <w:jc w:val="both"/>
        <w:rPr>
          <w:rFonts w:cs="Arial"/>
        </w:rPr>
      </w:pPr>
    </w:p>
    <w:p w:rsidR="00980B38" w:rsidRDefault="003B51B2" w:rsidP="00BB1A5E">
      <w:pPr>
        <w:autoSpaceDE w:val="0"/>
        <w:autoSpaceDN w:val="0"/>
        <w:adjustRightInd w:val="0"/>
        <w:spacing w:after="0" w:line="240" w:lineRule="auto"/>
        <w:jc w:val="both"/>
        <w:rPr>
          <w:rFonts w:cs="Arial"/>
        </w:rPr>
      </w:pPr>
      <w:r w:rsidRPr="00C95F78">
        <w:rPr>
          <w:rFonts w:cs="Arial"/>
        </w:rPr>
        <w:t>CO</w:t>
      </w:r>
      <w:r w:rsidRPr="00C95F78">
        <w:rPr>
          <w:rFonts w:cs="Arial"/>
          <w:vertAlign w:val="subscript"/>
        </w:rPr>
        <w:t>2</w:t>
      </w:r>
      <w:r w:rsidRPr="00C95F78">
        <w:rPr>
          <w:rFonts w:cs="Arial"/>
        </w:rPr>
        <w:t xml:space="preserve"> storage, also called CO</w:t>
      </w:r>
      <w:r w:rsidRPr="00C95F78">
        <w:rPr>
          <w:rFonts w:cs="Arial"/>
          <w:vertAlign w:val="subscript"/>
        </w:rPr>
        <w:t>2</w:t>
      </w:r>
      <w:r w:rsidRPr="00C95F78">
        <w:rPr>
          <w:rFonts w:cs="Arial"/>
        </w:rPr>
        <w:t xml:space="preserve"> sequestration, refers to processes that keep CO</w:t>
      </w:r>
      <w:r w:rsidRPr="00C95F78">
        <w:rPr>
          <w:rFonts w:cs="Arial"/>
          <w:vertAlign w:val="subscript"/>
        </w:rPr>
        <w:t>2</w:t>
      </w:r>
      <w:r w:rsidRPr="00C95F78">
        <w:rPr>
          <w:rFonts w:cs="Arial"/>
        </w:rPr>
        <w:t xml:space="preserve"> from being emitted to the atmosphere by storing it in a location where it will remain trapped for thousands of years or longer. </w:t>
      </w:r>
    </w:p>
    <w:p w:rsidR="00980B38" w:rsidRDefault="00980B38" w:rsidP="00BB1A5E">
      <w:pPr>
        <w:autoSpaceDE w:val="0"/>
        <w:autoSpaceDN w:val="0"/>
        <w:adjustRightInd w:val="0"/>
        <w:spacing w:after="0" w:line="240" w:lineRule="auto"/>
        <w:jc w:val="both"/>
        <w:rPr>
          <w:rFonts w:cs="Arial"/>
        </w:rPr>
      </w:pPr>
    </w:p>
    <w:p w:rsidR="003B51B2" w:rsidRPr="00C95F78" w:rsidRDefault="003B51B2" w:rsidP="00BB1A5E">
      <w:pPr>
        <w:autoSpaceDE w:val="0"/>
        <w:autoSpaceDN w:val="0"/>
        <w:adjustRightInd w:val="0"/>
        <w:spacing w:after="0" w:line="240" w:lineRule="auto"/>
        <w:jc w:val="both"/>
        <w:rPr>
          <w:rFonts w:cs="Arial"/>
        </w:rPr>
      </w:pPr>
      <w:r w:rsidRPr="00C95F78">
        <w:rPr>
          <w:rFonts w:cs="Arial"/>
        </w:rPr>
        <w:t>Most carbon sequestration processes store CO</w:t>
      </w:r>
      <w:r w:rsidRPr="00C95F78">
        <w:rPr>
          <w:rFonts w:cs="Arial"/>
          <w:vertAlign w:val="subscript"/>
        </w:rPr>
        <w:t>2</w:t>
      </w:r>
      <w:r w:rsidRPr="00C95F78">
        <w:rPr>
          <w:rFonts w:cs="Arial"/>
        </w:rPr>
        <w:t xml:space="preserve"> away from the atmosphere, at great depth within the earth’s crust</w:t>
      </w:r>
      <w:r w:rsidR="00980B38">
        <w:rPr>
          <w:rFonts w:cs="Arial"/>
        </w:rPr>
        <w:t>, often below the ocean floor</w:t>
      </w:r>
      <w:r w:rsidRPr="00C95F78">
        <w:rPr>
          <w:rFonts w:cs="Arial"/>
        </w:rPr>
        <w:t xml:space="preserve">. </w:t>
      </w:r>
      <w:r w:rsidR="00980B38">
        <w:rPr>
          <w:rFonts w:cs="Arial"/>
        </w:rPr>
        <w:t>Other alternatives are being explored, however, O</w:t>
      </w:r>
      <w:r w:rsidRPr="00C95F78">
        <w:rPr>
          <w:rFonts w:cs="Arial"/>
        </w:rPr>
        <w:t>ne carbon storage process, called terrestrial storage, stores CO</w:t>
      </w:r>
      <w:r w:rsidRPr="00C95F78">
        <w:rPr>
          <w:rFonts w:cs="Arial"/>
          <w:vertAlign w:val="subscript"/>
        </w:rPr>
        <w:t>2</w:t>
      </w:r>
      <w:r w:rsidRPr="00C95F78">
        <w:rPr>
          <w:rFonts w:cs="Arial"/>
        </w:rPr>
        <w:t xml:space="preserve"> in plant cell material and in soil organic matters</w:t>
      </w:r>
      <w:r w:rsidR="00980B38">
        <w:rPr>
          <w:rFonts w:cs="Arial"/>
        </w:rPr>
        <w:t>,</w:t>
      </w:r>
      <w:r w:rsidRPr="00C95F78">
        <w:rPr>
          <w:rFonts w:cs="Arial"/>
        </w:rPr>
        <w:t xml:space="preserve"> locked in a solid form.</w:t>
      </w:r>
    </w:p>
    <w:p w:rsidR="003B51B2" w:rsidRPr="00C95F78" w:rsidRDefault="003B51B2"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jc w:val="both"/>
        <w:rPr>
          <w:rFonts w:cs="Arial"/>
        </w:rPr>
      </w:pPr>
      <w:r w:rsidRPr="00C95F78">
        <w:rPr>
          <w:rFonts w:cs="Arial"/>
        </w:rPr>
        <w:t xml:space="preserve">There are four main methods either being considered or </w:t>
      </w:r>
      <w:r w:rsidR="00980B38">
        <w:rPr>
          <w:rFonts w:cs="Arial"/>
        </w:rPr>
        <w:t>now</w:t>
      </w:r>
      <w:r w:rsidRPr="00C95F78">
        <w:rPr>
          <w:rFonts w:cs="Arial"/>
        </w:rPr>
        <w:t xml:space="preserve"> being used for carbon s</w:t>
      </w:r>
      <w:r w:rsidR="00980B38">
        <w:rPr>
          <w:rFonts w:cs="Arial"/>
        </w:rPr>
        <w:t>equestration.</w:t>
      </w:r>
    </w:p>
    <w:p w:rsidR="00980B38" w:rsidRPr="00C95F78" w:rsidRDefault="00980B38"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jc w:val="both"/>
        <w:rPr>
          <w:rFonts w:cs="Arial"/>
        </w:rPr>
      </w:pPr>
      <w:r w:rsidRPr="00980B38">
        <w:rPr>
          <w:rFonts w:eastAsia="Times New Roman" w:cs="Times New Roman"/>
          <w:b/>
          <w:bCs/>
          <w:lang w:eastAsia="en-GB"/>
        </w:rPr>
        <w:t>Geological Storage:</w:t>
      </w:r>
      <w:r w:rsidR="00980B38">
        <w:rPr>
          <w:rFonts w:cs="Arial"/>
        </w:rPr>
        <w:t xml:space="preserve"> This</w:t>
      </w:r>
      <w:r w:rsidRPr="00980B38">
        <w:rPr>
          <w:rFonts w:cs="Arial"/>
        </w:rPr>
        <w:t xml:space="preserve"> refers to the sequestration of carbon in deep porous rock formations that are isolated from the atmosphere by thick layers of impermeable rock. The CO</w:t>
      </w:r>
      <w:r w:rsidRPr="00980B38">
        <w:rPr>
          <w:rFonts w:cs="Arial"/>
          <w:vertAlign w:val="subscript"/>
        </w:rPr>
        <w:t>2</w:t>
      </w:r>
      <w:r w:rsidRPr="00980B38">
        <w:rPr>
          <w:rFonts w:cs="Arial"/>
        </w:rPr>
        <w:t xml:space="preserve"> is stored in the pore spaces between mineral grains that make up rocks such as sandstone or limestone, or within voids or cavities within rocks such as basalt or salt</w:t>
      </w:r>
      <w:r w:rsidR="00980B38">
        <w:rPr>
          <w:rFonts w:cs="Arial"/>
        </w:rPr>
        <w:t>.</w:t>
      </w:r>
    </w:p>
    <w:p w:rsidR="00980B38" w:rsidRPr="00980B38" w:rsidRDefault="00980B38"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jc w:val="both"/>
        <w:rPr>
          <w:rFonts w:cs="Arial"/>
        </w:rPr>
      </w:pPr>
      <w:r w:rsidRPr="00980B38">
        <w:rPr>
          <w:rFonts w:cs="Arial"/>
          <w:b/>
        </w:rPr>
        <w:t>Ocean Storage</w:t>
      </w:r>
      <w:r w:rsidR="00980B38">
        <w:rPr>
          <w:rFonts w:cs="Arial"/>
          <w:b/>
        </w:rPr>
        <w:t>:</w:t>
      </w:r>
      <w:r w:rsidRPr="00980B38">
        <w:rPr>
          <w:rFonts w:cs="Arial"/>
          <w:b/>
        </w:rPr>
        <w:t xml:space="preserve"> </w:t>
      </w:r>
      <w:r w:rsidR="00980B38">
        <w:rPr>
          <w:rFonts w:cs="Arial"/>
        </w:rPr>
        <w:t xml:space="preserve">This refers to storage </w:t>
      </w:r>
      <w:r w:rsidRPr="00980B38">
        <w:rPr>
          <w:rFonts w:cs="Arial"/>
        </w:rPr>
        <w:t>within deep ocean basins</w:t>
      </w:r>
      <w:r w:rsidR="00980B38">
        <w:rPr>
          <w:rFonts w:cs="Arial"/>
        </w:rPr>
        <w:t>.</w:t>
      </w:r>
    </w:p>
    <w:p w:rsidR="00980B38" w:rsidRPr="00980B38" w:rsidRDefault="00980B38"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jc w:val="both"/>
        <w:rPr>
          <w:rFonts w:cs="Arial"/>
        </w:rPr>
      </w:pPr>
      <w:r w:rsidRPr="00980B38">
        <w:rPr>
          <w:rFonts w:cs="Arial"/>
          <w:b/>
        </w:rPr>
        <w:t>Beneficial Reuse</w:t>
      </w:r>
      <w:r w:rsidR="00FF5530">
        <w:rPr>
          <w:rFonts w:cs="Arial"/>
        </w:rPr>
        <w:t>: This refers to systems</w:t>
      </w:r>
      <w:r w:rsidRPr="00980B38">
        <w:rPr>
          <w:rFonts w:cs="Arial"/>
        </w:rPr>
        <w:t xml:space="preserve"> where CO</w:t>
      </w:r>
      <w:r w:rsidRPr="00980B38">
        <w:rPr>
          <w:rFonts w:cs="Arial"/>
          <w:vertAlign w:val="subscript"/>
        </w:rPr>
        <w:t>2</w:t>
      </w:r>
      <w:r w:rsidRPr="00980B38">
        <w:rPr>
          <w:rFonts w:cs="Arial"/>
        </w:rPr>
        <w:t xml:space="preserve"> is used for practical purposes</w:t>
      </w:r>
      <w:r w:rsidR="00FF5530">
        <w:rPr>
          <w:rFonts w:cs="Arial"/>
        </w:rPr>
        <w:t>, such as for Enhanced Oil Recovery, but there is also</w:t>
      </w:r>
      <w:r w:rsidRPr="00980B38">
        <w:rPr>
          <w:rFonts w:cs="Arial"/>
        </w:rPr>
        <w:t xml:space="preserve"> a component of carbon storage</w:t>
      </w:r>
    </w:p>
    <w:p w:rsidR="00980B38" w:rsidRPr="00980B38" w:rsidRDefault="00980B38"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jc w:val="both"/>
        <w:rPr>
          <w:rFonts w:cs="Arial"/>
        </w:rPr>
      </w:pPr>
      <w:r w:rsidRPr="00980B38">
        <w:rPr>
          <w:rFonts w:cs="Arial"/>
          <w:b/>
        </w:rPr>
        <w:t>Terrestrial Storage</w:t>
      </w:r>
      <w:r w:rsidR="00FF5530">
        <w:rPr>
          <w:rFonts w:cs="Arial"/>
        </w:rPr>
        <w:t>:</w:t>
      </w:r>
      <w:r w:rsidRPr="00980B38">
        <w:rPr>
          <w:rFonts w:cs="Arial"/>
        </w:rPr>
        <w:t xml:space="preserve"> </w:t>
      </w:r>
      <w:r w:rsidR="00FF5530">
        <w:rPr>
          <w:rFonts w:cs="Arial"/>
        </w:rPr>
        <w:t xml:space="preserve">This refers to the locking of </w:t>
      </w:r>
      <w:r w:rsidR="00FF5530" w:rsidRPr="00980B38">
        <w:rPr>
          <w:rFonts w:cs="Arial"/>
        </w:rPr>
        <w:t>CO</w:t>
      </w:r>
      <w:r w:rsidR="00FF5530" w:rsidRPr="00980B38">
        <w:rPr>
          <w:rFonts w:cs="Arial"/>
          <w:vertAlign w:val="subscript"/>
        </w:rPr>
        <w:t>2</w:t>
      </w:r>
      <w:r w:rsidR="00FF5530" w:rsidRPr="00980B38">
        <w:rPr>
          <w:rFonts w:cs="Arial"/>
        </w:rPr>
        <w:t xml:space="preserve"> </w:t>
      </w:r>
      <w:r w:rsidR="00FF5530">
        <w:rPr>
          <w:rFonts w:cs="Arial"/>
        </w:rPr>
        <w:t xml:space="preserve">in biological material on land in forests or </w:t>
      </w:r>
      <w:r w:rsidRPr="00980B38">
        <w:rPr>
          <w:rFonts w:cs="Arial"/>
        </w:rPr>
        <w:t xml:space="preserve">grasslands, </w:t>
      </w:r>
      <w:r w:rsidR="00FF5530">
        <w:rPr>
          <w:rFonts w:cs="Arial"/>
        </w:rPr>
        <w:t xml:space="preserve">and in </w:t>
      </w:r>
      <w:r w:rsidRPr="00980B38">
        <w:rPr>
          <w:rFonts w:cs="Arial"/>
        </w:rPr>
        <w:t>algae.</w:t>
      </w:r>
    </w:p>
    <w:p w:rsidR="00D13525" w:rsidRDefault="00D13525" w:rsidP="00BB1A5E">
      <w:pPr>
        <w:autoSpaceDE w:val="0"/>
        <w:autoSpaceDN w:val="0"/>
        <w:adjustRightInd w:val="0"/>
        <w:spacing w:after="0" w:line="240" w:lineRule="auto"/>
        <w:jc w:val="both"/>
        <w:rPr>
          <w:rFonts w:cs="Arial"/>
        </w:rPr>
      </w:pPr>
    </w:p>
    <w:p w:rsidR="00D13525" w:rsidRDefault="00D13525" w:rsidP="00BB1A5E">
      <w:pPr>
        <w:autoSpaceDE w:val="0"/>
        <w:autoSpaceDN w:val="0"/>
        <w:adjustRightInd w:val="0"/>
        <w:spacing w:after="0" w:line="240" w:lineRule="auto"/>
        <w:jc w:val="both"/>
        <w:rPr>
          <w:rFonts w:cs="Arial"/>
        </w:rPr>
      </w:pPr>
    </w:p>
    <w:p w:rsidR="00D13525" w:rsidRDefault="00D13525" w:rsidP="00BB1A5E">
      <w:pPr>
        <w:autoSpaceDE w:val="0"/>
        <w:autoSpaceDN w:val="0"/>
        <w:adjustRightInd w:val="0"/>
        <w:spacing w:after="0" w:line="240" w:lineRule="auto"/>
        <w:jc w:val="both"/>
        <w:rPr>
          <w:rFonts w:cs="Arial"/>
        </w:rPr>
      </w:pPr>
    </w:p>
    <w:p w:rsidR="00D13525" w:rsidRPr="00621010" w:rsidRDefault="003D5055" w:rsidP="00621010">
      <w:pPr>
        <w:pStyle w:val="Caption"/>
        <w:contextualSpacing/>
        <w:jc w:val="center"/>
        <w:rPr>
          <w:sz w:val="22"/>
          <w:szCs w:val="22"/>
        </w:rPr>
      </w:pPr>
      <w:bookmarkStart w:id="168" w:name="_Ref263582823"/>
      <w:r>
        <w:rPr>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261620</wp:posOffset>
                </wp:positionV>
                <wp:extent cx="3111500" cy="261620"/>
                <wp:effectExtent l="3810" t="4445" r="0" b="635"/>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6D1A8" id="Rectangle 18" o:spid="_x0000_s1026" style="position:absolute;margin-left:.3pt;margin-top:20.6pt;width:245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" stroked="f"/>
            </w:pict>
          </mc:Fallback>
        </mc:AlternateContent>
      </w:r>
      <w:bookmarkStart w:id="169" w:name="_Toc263165490"/>
      <w:bookmarkStart w:id="170" w:name="_Toc263671742"/>
      <w:r w:rsidR="00D13525" w:rsidRPr="00C95F78">
        <w:rPr>
          <w:sz w:val="28"/>
          <w:szCs w:val="28"/>
        </w:rPr>
        <w:t xml:space="preserve">Figure </w:t>
      </w:r>
      <w:r w:rsidR="00D50FDC" w:rsidRPr="00C95F78">
        <w:rPr>
          <w:sz w:val="28"/>
          <w:szCs w:val="28"/>
        </w:rPr>
        <w:fldChar w:fldCharType="begin"/>
      </w:r>
      <w:r w:rsidR="00D13525" w:rsidRPr="00C95F78">
        <w:rPr>
          <w:sz w:val="28"/>
          <w:szCs w:val="28"/>
        </w:rPr>
        <w:instrText xml:space="preserve"> SEQ Figure \* ARABIC </w:instrText>
      </w:r>
      <w:r w:rsidR="00D50FDC" w:rsidRPr="00C95F78">
        <w:rPr>
          <w:sz w:val="28"/>
          <w:szCs w:val="28"/>
        </w:rPr>
        <w:fldChar w:fldCharType="separate"/>
      </w:r>
      <w:r w:rsidR="0005759A">
        <w:rPr>
          <w:noProof/>
          <w:sz w:val="28"/>
          <w:szCs w:val="28"/>
        </w:rPr>
        <w:t>88</w:t>
      </w:r>
      <w:r w:rsidR="00D50FDC" w:rsidRPr="00C95F78">
        <w:rPr>
          <w:sz w:val="28"/>
          <w:szCs w:val="28"/>
        </w:rPr>
        <w:fldChar w:fldCharType="end"/>
      </w:r>
      <w:bookmarkEnd w:id="168"/>
      <w:r w:rsidR="00D13525" w:rsidRPr="00C95F78">
        <w:rPr>
          <w:sz w:val="28"/>
          <w:szCs w:val="28"/>
        </w:rPr>
        <w:t xml:space="preserve">: Status of CCS Component Technology </w:t>
      </w:r>
      <w:r w:rsidR="00D13525" w:rsidRPr="00621010">
        <w:rPr>
          <w:sz w:val="28"/>
          <w:szCs w:val="28"/>
        </w:rPr>
        <w:t>Development</w:t>
      </w:r>
      <w:r w:rsidR="00D13525" w:rsidRPr="00621010">
        <w:rPr>
          <w:rStyle w:val="FootnoteReference"/>
          <w:sz w:val="22"/>
          <w:szCs w:val="22"/>
        </w:rPr>
        <w:footnoteReference w:id="29"/>
      </w:r>
      <w:bookmarkEnd w:id="169"/>
      <w:bookmarkEnd w:id="170"/>
    </w:p>
    <w:p w:rsidR="00D13525" w:rsidRPr="00C95F78" w:rsidRDefault="00D13525" w:rsidP="00621010">
      <w:pPr>
        <w:autoSpaceDE w:val="0"/>
        <w:autoSpaceDN w:val="0"/>
        <w:adjustRightInd w:val="0"/>
        <w:spacing w:after="0" w:line="240" w:lineRule="auto"/>
        <w:contextualSpacing/>
        <w:jc w:val="center"/>
      </w:pPr>
      <w:r w:rsidRPr="00C95F78">
        <w:rPr>
          <w:noProof/>
          <w:lang w:val="en-US"/>
        </w:rPr>
        <w:drawing>
          <wp:inline distT="0" distB="0" distL="0" distR="0">
            <wp:extent cx="5724525" cy="3790950"/>
            <wp:effectExtent l="19050" t="0" r="9525"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5724525" cy="3790950"/>
                    </a:xfrm>
                    <a:prstGeom prst="rect">
                      <a:avLst/>
                    </a:prstGeom>
                    <a:noFill/>
                    <a:ln w="9525">
                      <a:noFill/>
                      <a:miter lim="800000"/>
                      <a:headEnd/>
                      <a:tailEnd/>
                    </a:ln>
                  </pic:spPr>
                </pic:pic>
              </a:graphicData>
            </a:graphic>
          </wp:inline>
        </w:drawing>
      </w:r>
    </w:p>
    <w:p w:rsidR="00D13525" w:rsidRPr="00980B38" w:rsidRDefault="00D13525" w:rsidP="00BB1A5E">
      <w:pPr>
        <w:autoSpaceDE w:val="0"/>
        <w:autoSpaceDN w:val="0"/>
        <w:adjustRightInd w:val="0"/>
        <w:spacing w:after="0" w:line="240" w:lineRule="auto"/>
        <w:jc w:val="both"/>
        <w:rPr>
          <w:rFonts w:cs="Arial"/>
        </w:rPr>
      </w:pPr>
    </w:p>
    <w:p w:rsidR="003B51B2" w:rsidRDefault="003B51B2" w:rsidP="00BB1A5E">
      <w:pPr>
        <w:autoSpaceDE w:val="0"/>
        <w:autoSpaceDN w:val="0"/>
        <w:adjustRightInd w:val="0"/>
        <w:spacing w:after="0" w:line="240" w:lineRule="auto"/>
        <w:contextualSpacing/>
        <w:jc w:val="both"/>
      </w:pPr>
    </w:p>
    <w:p w:rsidR="00D13525" w:rsidRDefault="00D13525" w:rsidP="00BB1A5E">
      <w:pPr>
        <w:autoSpaceDE w:val="0"/>
        <w:autoSpaceDN w:val="0"/>
        <w:adjustRightInd w:val="0"/>
        <w:spacing w:after="0" w:line="240" w:lineRule="auto"/>
        <w:jc w:val="both"/>
        <w:rPr>
          <w:b/>
          <w:color w:val="365F91" w:themeColor="accent1" w:themeShade="BF"/>
          <w:sz w:val="24"/>
          <w:szCs w:val="24"/>
        </w:rPr>
      </w:pPr>
    </w:p>
    <w:p w:rsidR="00D13525" w:rsidRDefault="00D13525" w:rsidP="00BB1A5E">
      <w:pPr>
        <w:autoSpaceDE w:val="0"/>
        <w:autoSpaceDN w:val="0"/>
        <w:adjustRightInd w:val="0"/>
        <w:spacing w:after="0" w:line="240" w:lineRule="auto"/>
        <w:jc w:val="both"/>
        <w:rPr>
          <w:b/>
          <w:color w:val="365F91" w:themeColor="accent1" w:themeShade="BF"/>
          <w:sz w:val="24"/>
          <w:szCs w:val="24"/>
        </w:rPr>
      </w:pPr>
    </w:p>
    <w:p w:rsidR="0057114E" w:rsidRPr="00980B38" w:rsidRDefault="0057114E" w:rsidP="00BB1A5E">
      <w:pPr>
        <w:autoSpaceDE w:val="0"/>
        <w:autoSpaceDN w:val="0"/>
        <w:adjustRightInd w:val="0"/>
        <w:spacing w:after="0" w:line="240" w:lineRule="auto"/>
        <w:jc w:val="both"/>
        <w:rPr>
          <w:b/>
          <w:color w:val="365F91" w:themeColor="accent1" w:themeShade="BF"/>
          <w:sz w:val="24"/>
          <w:szCs w:val="24"/>
        </w:rPr>
      </w:pPr>
      <w:r>
        <w:rPr>
          <w:b/>
          <w:color w:val="365F91" w:themeColor="accent1" w:themeShade="BF"/>
          <w:sz w:val="24"/>
          <w:szCs w:val="24"/>
        </w:rPr>
        <w:t>Technology Readiness</w:t>
      </w:r>
    </w:p>
    <w:p w:rsidR="0057114E" w:rsidRDefault="0057114E" w:rsidP="00BB1A5E">
      <w:pPr>
        <w:autoSpaceDE w:val="0"/>
        <w:autoSpaceDN w:val="0"/>
        <w:adjustRightInd w:val="0"/>
        <w:spacing w:after="0" w:line="240" w:lineRule="auto"/>
        <w:contextualSpacing/>
        <w:jc w:val="both"/>
      </w:pPr>
    </w:p>
    <w:p w:rsidR="0057114E" w:rsidRDefault="0057114E" w:rsidP="00BB1A5E">
      <w:pPr>
        <w:autoSpaceDE w:val="0"/>
        <w:autoSpaceDN w:val="0"/>
        <w:adjustRightInd w:val="0"/>
        <w:spacing w:after="0" w:line="240" w:lineRule="auto"/>
        <w:contextualSpacing/>
        <w:jc w:val="both"/>
      </w:pPr>
      <w:r>
        <w:t>The discussion of CCS technologies above indicates that technologies are in place, or well on the way to being so. This is, however, a market that is only at an early stage of development. It may be expected that as it develops new, cheaper and more efficient technologies will come to the fore.</w:t>
      </w:r>
    </w:p>
    <w:p w:rsidR="0057114E" w:rsidRDefault="0057114E" w:rsidP="00BB1A5E">
      <w:pPr>
        <w:autoSpaceDE w:val="0"/>
        <w:autoSpaceDN w:val="0"/>
        <w:adjustRightInd w:val="0"/>
        <w:spacing w:after="0" w:line="240" w:lineRule="auto"/>
        <w:contextualSpacing/>
        <w:jc w:val="both"/>
      </w:pPr>
    </w:p>
    <w:p w:rsidR="0057114E" w:rsidRPr="0057114E" w:rsidRDefault="0057114E" w:rsidP="00BB1A5E">
      <w:pPr>
        <w:autoSpaceDE w:val="0"/>
        <w:autoSpaceDN w:val="0"/>
        <w:adjustRightInd w:val="0"/>
        <w:spacing w:after="0" w:line="240" w:lineRule="auto"/>
        <w:contextualSpacing/>
        <w:jc w:val="both"/>
      </w:pPr>
      <w:r>
        <w:t xml:space="preserve">As an indication of the state of technology readiness of the main capture, transport and storage options proposed, we show the relative status of development </w:t>
      </w:r>
      <w:r w:rsidRPr="0057114E">
        <w:t xml:space="preserve">in </w:t>
      </w:r>
      <w:r w:rsidR="003C7AEB">
        <w:fldChar w:fldCharType="begin"/>
      </w:r>
      <w:r w:rsidR="003C7AEB">
        <w:instrText xml:space="preserve"> REF _Ref263582823 \h  \* MERGEFORMAT </w:instrText>
      </w:r>
      <w:r w:rsidR="003C7AEB">
        <w:fldChar w:fldCharType="separate"/>
      </w:r>
      <w:r w:rsidR="0005759A" w:rsidRPr="0005759A">
        <w:t xml:space="preserve">Figure </w:t>
      </w:r>
      <w:r w:rsidR="0005759A" w:rsidRPr="0005759A">
        <w:rPr>
          <w:noProof/>
        </w:rPr>
        <w:t>88</w:t>
      </w:r>
      <w:r w:rsidR="003C7AEB">
        <w:fldChar w:fldCharType="end"/>
      </w:r>
      <w:r w:rsidRPr="0057114E">
        <w:t>.</w:t>
      </w:r>
    </w:p>
    <w:p w:rsidR="0057114E" w:rsidRDefault="0057114E" w:rsidP="00BB1A5E">
      <w:pPr>
        <w:autoSpaceDE w:val="0"/>
        <w:autoSpaceDN w:val="0"/>
        <w:adjustRightInd w:val="0"/>
        <w:spacing w:after="0" w:line="240" w:lineRule="auto"/>
        <w:contextualSpacing/>
        <w:jc w:val="both"/>
      </w:pPr>
    </w:p>
    <w:p w:rsidR="001268A7" w:rsidRPr="001268A7" w:rsidRDefault="001268A7"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71" w:name="_Toc263688610"/>
      <w:r>
        <w:rPr>
          <w:rFonts w:asciiTheme="minorHAnsi" w:hAnsiTheme="minorHAnsi"/>
          <w:color w:val="365F91" w:themeColor="accent1" w:themeShade="BF"/>
          <w:sz w:val="26"/>
          <w:szCs w:val="26"/>
        </w:rPr>
        <w:t>Market Forecasts by Sector</w:t>
      </w:r>
      <w:bookmarkEnd w:id="171"/>
    </w:p>
    <w:p w:rsidR="001268A7" w:rsidRDefault="001268A7" w:rsidP="00BB1A5E">
      <w:pPr>
        <w:autoSpaceDE w:val="0"/>
        <w:autoSpaceDN w:val="0"/>
        <w:adjustRightInd w:val="0"/>
        <w:spacing w:after="0" w:line="240" w:lineRule="auto"/>
        <w:contextualSpacing/>
        <w:jc w:val="both"/>
      </w:pPr>
    </w:p>
    <w:p w:rsidR="00514233" w:rsidRPr="00980B38" w:rsidRDefault="00514233" w:rsidP="00BB1A5E">
      <w:pPr>
        <w:autoSpaceDE w:val="0"/>
        <w:autoSpaceDN w:val="0"/>
        <w:adjustRightInd w:val="0"/>
        <w:spacing w:after="0" w:line="240" w:lineRule="auto"/>
        <w:jc w:val="both"/>
        <w:rPr>
          <w:b/>
          <w:color w:val="365F91" w:themeColor="accent1" w:themeShade="BF"/>
          <w:sz w:val="24"/>
          <w:szCs w:val="24"/>
        </w:rPr>
      </w:pPr>
      <w:r>
        <w:rPr>
          <w:b/>
          <w:color w:val="365F91" w:themeColor="accent1" w:themeShade="BF"/>
          <w:sz w:val="24"/>
          <w:szCs w:val="24"/>
        </w:rPr>
        <w:t>Current Industry Status</w:t>
      </w:r>
    </w:p>
    <w:p w:rsidR="00514233" w:rsidRDefault="00514233" w:rsidP="00BB1A5E">
      <w:pPr>
        <w:autoSpaceDE w:val="0"/>
        <w:autoSpaceDN w:val="0"/>
        <w:adjustRightInd w:val="0"/>
        <w:spacing w:after="0" w:line="240" w:lineRule="auto"/>
        <w:contextualSpacing/>
        <w:jc w:val="both"/>
      </w:pPr>
    </w:p>
    <w:p w:rsidR="00EA750F" w:rsidRPr="00C95F78" w:rsidRDefault="00EA750F" w:rsidP="00BB1A5E">
      <w:pPr>
        <w:autoSpaceDE w:val="0"/>
        <w:autoSpaceDN w:val="0"/>
        <w:adjustRightInd w:val="0"/>
        <w:spacing w:after="0" w:line="240" w:lineRule="auto"/>
        <w:jc w:val="both"/>
        <w:rPr>
          <w:rFonts w:cs="Arial"/>
        </w:rPr>
      </w:pPr>
      <w:r>
        <w:rPr>
          <w:rFonts w:cs="Arial"/>
        </w:rPr>
        <w:t xml:space="preserve">It is agreed at government level that CCS is an essential technology for reducing </w:t>
      </w:r>
      <w:r w:rsidRPr="00980B38">
        <w:rPr>
          <w:rFonts w:cs="Arial"/>
        </w:rPr>
        <w:t>CO</w:t>
      </w:r>
      <w:r w:rsidRPr="00980B38">
        <w:rPr>
          <w:rFonts w:cs="Arial"/>
          <w:vertAlign w:val="subscript"/>
        </w:rPr>
        <w:t>2</w:t>
      </w:r>
      <w:r>
        <w:rPr>
          <w:rFonts w:cs="Arial"/>
          <w:vertAlign w:val="subscript"/>
        </w:rPr>
        <w:t xml:space="preserve"> </w:t>
      </w:r>
      <w:r>
        <w:rPr>
          <w:rFonts w:cs="Arial"/>
        </w:rPr>
        <w:t xml:space="preserve">emissions. </w:t>
      </w:r>
      <w:r w:rsidRPr="00C95F78">
        <w:rPr>
          <w:rFonts w:cs="Arial"/>
        </w:rPr>
        <w:t xml:space="preserve">The G8 </w:t>
      </w:r>
      <w:r>
        <w:rPr>
          <w:rFonts w:cs="Arial"/>
        </w:rPr>
        <w:t xml:space="preserve">nations have the stated </w:t>
      </w:r>
      <w:r w:rsidRPr="00C95F78">
        <w:rPr>
          <w:rFonts w:cs="Arial"/>
        </w:rPr>
        <w:t>objective is to launch 20 large-scale CCS demonstration projects by 2010</w:t>
      </w:r>
      <w:r>
        <w:rPr>
          <w:rFonts w:cs="Arial"/>
        </w:rPr>
        <w:t>,</w:t>
      </w:r>
      <w:r w:rsidRPr="00C95F78">
        <w:rPr>
          <w:rFonts w:cs="Arial"/>
        </w:rPr>
        <w:t xml:space="preserve"> with a view to beginning broad deployment of CCS by 2020.</w:t>
      </w:r>
    </w:p>
    <w:p w:rsidR="00EA750F" w:rsidRDefault="00EA750F" w:rsidP="00BB1A5E">
      <w:pPr>
        <w:autoSpaceDE w:val="0"/>
        <w:autoSpaceDN w:val="0"/>
        <w:adjustRightInd w:val="0"/>
        <w:spacing w:after="0" w:line="240" w:lineRule="auto"/>
        <w:contextualSpacing/>
        <w:jc w:val="both"/>
      </w:pPr>
    </w:p>
    <w:p w:rsidR="001E6772" w:rsidRPr="001E6772" w:rsidRDefault="00547F23" w:rsidP="00BB1A5E">
      <w:pPr>
        <w:autoSpaceDE w:val="0"/>
        <w:autoSpaceDN w:val="0"/>
        <w:adjustRightInd w:val="0"/>
        <w:spacing w:after="0" w:line="240" w:lineRule="auto"/>
        <w:contextualSpacing/>
        <w:jc w:val="both"/>
        <w:rPr>
          <w:rFonts w:cs="Arial"/>
        </w:rPr>
      </w:pPr>
      <w:r>
        <w:t>In its recent report entitled “</w:t>
      </w:r>
      <w:r w:rsidRPr="00547F23">
        <w:t>Strategic Analysis of the Global Status of Carbon Capture and Storage</w:t>
      </w:r>
      <w:r>
        <w:t>”</w:t>
      </w:r>
      <w:r w:rsidRPr="00547F23">
        <w:t>,</w:t>
      </w:r>
      <w:r>
        <w:t xml:space="preserve"> the Global CCS Institute carried out a comprehensive review of the current status of CCS projects in place and planned. It identified 275 projects, of which</w:t>
      </w:r>
      <w:r w:rsidR="001E6772">
        <w:t xml:space="preserve"> 247 were operational, completed or planned to go ahead. </w:t>
      </w:r>
      <w:r w:rsidR="001E6772" w:rsidRPr="001E6772">
        <w:rPr>
          <w:rFonts w:cs="Arial"/>
        </w:rPr>
        <w:t>The Institute found that, for capture, post combustion capture (PPC) was favoured, with 48% of the projects, but there was active development across the technology range.</w:t>
      </w:r>
    </w:p>
    <w:p w:rsidR="00F419DB" w:rsidRPr="001E6772" w:rsidRDefault="00F419DB" w:rsidP="00BB1A5E">
      <w:pPr>
        <w:autoSpaceDE w:val="0"/>
        <w:autoSpaceDN w:val="0"/>
        <w:adjustRightInd w:val="0"/>
        <w:spacing w:after="0" w:line="240" w:lineRule="auto"/>
        <w:jc w:val="both"/>
        <w:rPr>
          <w:rFonts w:cs="Arial"/>
        </w:rPr>
      </w:pPr>
    </w:p>
    <w:p w:rsidR="001E6772" w:rsidRPr="001E6772" w:rsidRDefault="001E6772" w:rsidP="00BB1A5E">
      <w:pPr>
        <w:autoSpaceDE w:val="0"/>
        <w:autoSpaceDN w:val="0"/>
        <w:adjustRightInd w:val="0"/>
        <w:spacing w:after="0" w:line="240" w:lineRule="auto"/>
        <w:jc w:val="both"/>
        <w:rPr>
          <w:rFonts w:cs="Arial"/>
        </w:rPr>
      </w:pPr>
      <w:r>
        <w:rPr>
          <w:rFonts w:cs="Arial"/>
        </w:rPr>
        <w:t>While there are a large number of CCS projects in total, the</w:t>
      </w:r>
      <w:r w:rsidR="00B54D9F">
        <w:rPr>
          <w:rFonts w:cs="Arial"/>
        </w:rPr>
        <w:t>re are only 62</w:t>
      </w:r>
      <w:r w:rsidR="00042B65">
        <w:rPr>
          <w:rFonts w:cs="Arial"/>
        </w:rPr>
        <w:t xml:space="preserve"> </w:t>
      </w:r>
      <w:r>
        <w:rPr>
          <w:rFonts w:cs="Arial"/>
        </w:rPr>
        <w:t>integrated</w:t>
      </w:r>
      <w:r w:rsidR="00B54D9F">
        <w:rPr>
          <w:rFonts w:cs="Arial"/>
        </w:rPr>
        <w:t>, commercial scale</w:t>
      </w:r>
      <w:r>
        <w:rPr>
          <w:rFonts w:cs="Arial"/>
        </w:rPr>
        <w:t xml:space="preserve"> projects. Europe is active in such larger scale development, with 23 active or planned commercial scale projects. The relatively strong presence of Europe</w:t>
      </w:r>
      <w:r w:rsidRPr="001E6772">
        <w:rPr>
          <w:rFonts w:cs="Arial"/>
        </w:rPr>
        <w:t xml:space="preserve"> can be largely attributed to the 2007 commitment by the EU to construct 10</w:t>
      </w:r>
      <w:r w:rsidRPr="00C95F78">
        <w:rPr>
          <w:rFonts w:cs="Arial"/>
        </w:rPr>
        <w:t xml:space="preserve"> to 12 full-scale CCS demonstration plants by 2015.</w:t>
      </w:r>
      <w:r>
        <w:rPr>
          <w:rFonts w:cs="Arial"/>
        </w:rPr>
        <w:t xml:space="preserve"> Offshore storage is being considered for European CCS, although this is found to be an expensive option, both in transport and storage itself.</w:t>
      </w:r>
    </w:p>
    <w:p w:rsidR="001E6772" w:rsidRPr="001E6772" w:rsidRDefault="001E6772" w:rsidP="00BB1A5E">
      <w:pPr>
        <w:autoSpaceDE w:val="0"/>
        <w:autoSpaceDN w:val="0"/>
        <w:adjustRightInd w:val="0"/>
        <w:spacing w:after="0" w:line="240" w:lineRule="auto"/>
        <w:jc w:val="both"/>
        <w:rPr>
          <w:rFonts w:cs="Arial"/>
        </w:rPr>
      </w:pPr>
    </w:p>
    <w:p w:rsidR="00F419DB" w:rsidRPr="00C95F78" w:rsidRDefault="001E6772" w:rsidP="00BB1A5E">
      <w:pPr>
        <w:autoSpaceDE w:val="0"/>
        <w:autoSpaceDN w:val="0"/>
        <w:adjustRightInd w:val="0"/>
        <w:spacing w:after="0" w:line="240" w:lineRule="auto"/>
        <w:jc w:val="both"/>
        <w:rPr>
          <w:rFonts w:cs="Arial"/>
        </w:rPr>
      </w:pPr>
      <w:r>
        <w:rPr>
          <w:rFonts w:cs="Arial"/>
        </w:rPr>
        <w:t xml:space="preserve">The United States falls a little way behind </w:t>
      </w:r>
      <w:r w:rsidR="00B54D9F">
        <w:rPr>
          <w:rFonts w:cs="Arial"/>
        </w:rPr>
        <w:t>Europe,</w:t>
      </w:r>
      <w:r w:rsidR="00F419DB" w:rsidRPr="00C95F78">
        <w:rPr>
          <w:rFonts w:cs="Arial"/>
        </w:rPr>
        <w:t xml:space="preserve"> with 15 active or planned, commercial scale, integrated CCS projects. Three of the</w:t>
      </w:r>
      <w:r w:rsidR="00B54D9F">
        <w:rPr>
          <w:rFonts w:cs="Arial"/>
        </w:rPr>
        <w:t xml:space="preserve">se </w:t>
      </w:r>
      <w:r w:rsidR="00F419DB" w:rsidRPr="00C95F78">
        <w:rPr>
          <w:rFonts w:cs="Arial"/>
        </w:rPr>
        <w:t>are currently operating</w:t>
      </w:r>
      <w:r w:rsidR="00B54D9F">
        <w:rPr>
          <w:rFonts w:cs="Arial"/>
        </w:rPr>
        <w:t>, namely</w:t>
      </w:r>
      <w:r w:rsidR="00F419DB" w:rsidRPr="00C95F78">
        <w:rPr>
          <w:rFonts w:cs="Arial"/>
        </w:rPr>
        <w:t xml:space="preserve"> Val Verde, Salt Creek EOR and Rangely EOR projects. Australia has </w:t>
      </w:r>
      <w:r w:rsidR="00B54D9F">
        <w:rPr>
          <w:rFonts w:cs="Arial"/>
        </w:rPr>
        <w:t>7</w:t>
      </w:r>
      <w:r w:rsidR="00F419DB" w:rsidRPr="00C95F78">
        <w:rPr>
          <w:rFonts w:cs="Arial"/>
        </w:rPr>
        <w:t xml:space="preserve"> projects</w:t>
      </w:r>
      <w:r w:rsidR="00B54D9F">
        <w:rPr>
          <w:rFonts w:cs="Arial"/>
        </w:rPr>
        <w:t xml:space="preserve">, mostly at an early stage, while </w:t>
      </w:r>
      <w:r w:rsidR="00F419DB" w:rsidRPr="00C95F78">
        <w:rPr>
          <w:rFonts w:cs="Arial"/>
        </w:rPr>
        <w:t xml:space="preserve">Canada has </w:t>
      </w:r>
      <w:r w:rsidR="00B54D9F">
        <w:rPr>
          <w:rFonts w:cs="Arial"/>
        </w:rPr>
        <w:t>6, including</w:t>
      </w:r>
      <w:r w:rsidR="00F419DB" w:rsidRPr="00C95F78">
        <w:rPr>
          <w:rFonts w:cs="Arial"/>
        </w:rPr>
        <w:t xml:space="preserve"> Weyburn EOR</w:t>
      </w:r>
      <w:r w:rsidR="00B54D9F">
        <w:rPr>
          <w:rFonts w:cs="Arial"/>
        </w:rPr>
        <w:t>, operational</w:t>
      </w:r>
      <w:r w:rsidR="00F419DB" w:rsidRPr="00C95F78">
        <w:rPr>
          <w:rFonts w:cs="Arial"/>
        </w:rPr>
        <w:t xml:space="preserve"> since 2000.</w:t>
      </w:r>
    </w:p>
    <w:p w:rsidR="00F419DB" w:rsidRPr="00C95F78" w:rsidRDefault="00F419DB" w:rsidP="00BB1A5E">
      <w:pPr>
        <w:autoSpaceDE w:val="0"/>
        <w:autoSpaceDN w:val="0"/>
        <w:adjustRightInd w:val="0"/>
        <w:spacing w:after="0" w:line="240" w:lineRule="auto"/>
        <w:jc w:val="both"/>
        <w:rPr>
          <w:rFonts w:cs="Arial"/>
          <w:sz w:val="20"/>
          <w:szCs w:val="20"/>
        </w:rPr>
      </w:pPr>
    </w:p>
    <w:p w:rsidR="00F419DB" w:rsidRPr="00C95F78" w:rsidRDefault="00F419DB" w:rsidP="00BB1A5E">
      <w:pPr>
        <w:autoSpaceDE w:val="0"/>
        <w:autoSpaceDN w:val="0"/>
        <w:adjustRightInd w:val="0"/>
        <w:spacing w:after="0" w:line="240" w:lineRule="auto"/>
        <w:jc w:val="both"/>
        <w:rPr>
          <w:rFonts w:cs="Arial"/>
        </w:rPr>
      </w:pPr>
      <w:r w:rsidRPr="00C95F78">
        <w:rPr>
          <w:rFonts w:cs="Arial"/>
        </w:rPr>
        <w:t>Of the 62 projects</w:t>
      </w:r>
      <w:r w:rsidR="00B54D9F">
        <w:rPr>
          <w:rFonts w:cs="Arial"/>
        </w:rPr>
        <w:t xml:space="preserve"> defined as integrated</w:t>
      </w:r>
      <w:r w:rsidRPr="00C95F78">
        <w:rPr>
          <w:rFonts w:cs="Arial"/>
        </w:rPr>
        <w:t xml:space="preserve">, 30 are dependent projects. These </w:t>
      </w:r>
      <w:r w:rsidR="00B54D9F">
        <w:rPr>
          <w:rFonts w:cs="Arial"/>
        </w:rPr>
        <w:t>do not have all of the three elements of capture, transport and distributed, but are integrated insofar as they are linked within a chain including all three. Of the dependent projects 18 are capture only, 2 transport only, 6 storage only, the rest being combinations between the elements.</w:t>
      </w:r>
    </w:p>
    <w:p w:rsidR="00B54D9F" w:rsidRDefault="00B54D9F" w:rsidP="00BB1A5E">
      <w:pPr>
        <w:autoSpaceDE w:val="0"/>
        <w:autoSpaceDN w:val="0"/>
        <w:adjustRightInd w:val="0"/>
        <w:spacing w:after="0" w:line="240" w:lineRule="auto"/>
        <w:jc w:val="both"/>
        <w:rPr>
          <w:rFonts w:cs="Arial"/>
          <w:color w:val="000000"/>
        </w:rPr>
      </w:pPr>
    </w:p>
    <w:p w:rsidR="00B54D9F" w:rsidRDefault="00A8634F" w:rsidP="00BB1A5E">
      <w:pPr>
        <w:autoSpaceDE w:val="0"/>
        <w:autoSpaceDN w:val="0"/>
        <w:adjustRightInd w:val="0"/>
        <w:spacing w:after="0" w:line="240" w:lineRule="auto"/>
        <w:jc w:val="both"/>
        <w:rPr>
          <w:rFonts w:cs="Arial"/>
          <w:color w:val="000000"/>
        </w:rPr>
      </w:pPr>
      <w:r>
        <w:rPr>
          <w:rFonts w:cs="Arial"/>
          <w:color w:val="000000"/>
        </w:rPr>
        <w:t>From t</w:t>
      </w:r>
      <w:r w:rsidR="00B54D9F">
        <w:rPr>
          <w:rFonts w:cs="Arial"/>
          <w:color w:val="000000"/>
        </w:rPr>
        <w:t xml:space="preserve">he 32 fully integrated projects, </w:t>
      </w:r>
      <w:r w:rsidR="00EA750F">
        <w:rPr>
          <w:rFonts w:cs="Arial"/>
          <w:color w:val="000000"/>
        </w:rPr>
        <w:t>most (23) are linked to power stations. Most of the remainder are linked to the oil and gas industry through gas processing (5) or oil refining (2)</w:t>
      </w:r>
      <w:r w:rsidR="00D005A2">
        <w:rPr>
          <w:rFonts w:cs="Arial"/>
          <w:color w:val="000000"/>
        </w:rPr>
        <w:t>.</w:t>
      </w:r>
    </w:p>
    <w:p w:rsidR="00B54D9F" w:rsidRDefault="00B54D9F" w:rsidP="00BB1A5E">
      <w:pPr>
        <w:autoSpaceDE w:val="0"/>
        <w:autoSpaceDN w:val="0"/>
        <w:adjustRightInd w:val="0"/>
        <w:spacing w:after="0" w:line="240" w:lineRule="auto"/>
        <w:jc w:val="both"/>
        <w:rPr>
          <w:rFonts w:cs="Arial"/>
          <w:color w:val="000000"/>
        </w:rPr>
      </w:pPr>
    </w:p>
    <w:p w:rsidR="00EA750F" w:rsidRDefault="00EA750F" w:rsidP="00BB1A5E">
      <w:pPr>
        <w:autoSpaceDE w:val="0"/>
        <w:autoSpaceDN w:val="0"/>
        <w:adjustRightInd w:val="0"/>
        <w:spacing w:after="0" w:line="240" w:lineRule="auto"/>
        <w:jc w:val="both"/>
        <w:rPr>
          <w:rFonts w:cs="Arial"/>
        </w:rPr>
      </w:pPr>
      <w:r>
        <w:rPr>
          <w:rFonts w:cs="Arial"/>
        </w:rPr>
        <w:t xml:space="preserve">For the 62 full and partially integrated projects, geological storage is the most common option, accounting for 39 of the projects (where specified). Most of the remainder plan re-use of the captured </w:t>
      </w:r>
      <w:r w:rsidR="00042B65" w:rsidRPr="00980B38">
        <w:rPr>
          <w:rFonts w:cs="Arial"/>
        </w:rPr>
        <w:t>CO</w:t>
      </w:r>
      <w:r w:rsidR="00042B65" w:rsidRPr="00980B38">
        <w:rPr>
          <w:rFonts w:cs="Arial"/>
          <w:vertAlign w:val="subscript"/>
        </w:rPr>
        <w:t>2</w:t>
      </w:r>
      <w:r w:rsidR="00042B65">
        <w:rPr>
          <w:rFonts w:cs="Arial"/>
        </w:rPr>
        <w:t xml:space="preserve"> </w:t>
      </w:r>
      <w:r>
        <w:rPr>
          <w:rFonts w:cs="Arial"/>
        </w:rPr>
        <w:t>in EOR (Enhanced Oil Recovery). These are all located in Canada, the United States and UAE.</w:t>
      </w:r>
    </w:p>
    <w:p w:rsidR="00EA750F" w:rsidRDefault="00EA750F" w:rsidP="00BB1A5E">
      <w:pPr>
        <w:autoSpaceDE w:val="0"/>
        <w:autoSpaceDN w:val="0"/>
        <w:adjustRightInd w:val="0"/>
        <w:spacing w:after="0" w:line="240" w:lineRule="auto"/>
        <w:jc w:val="both"/>
        <w:rPr>
          <w:rFonts w:cs="Arial"/>
        </w:rPr>
      </w:pPr>
    </w:p>
    <w:p w:rsidR="00692C0D" w:rsidRPr="00980B38" w:rsidRDefault="00692C0D" w:rsidP="00BB1A5E">
      <w:pPr>
        <w:autoSpaceDE w:val="0"/>
        <w:autoSpaceDN w:val="0"/>
        <w:adjustRightInd w:val="0"/>
        <w:spacing w:after="0" w:line="240" w:lineRule="auto"/>
        <w:jc w:val="both"/>
        <w:rPr>
          <w:b/>
          <w:color w:val="365F91" w:themeColor="accent1" w:themeShade="BF"/>
          <w:sz w:val="24"/>
          <w:szCs w:val="24"/>
        </w:rPr>
      </w:pPr>
      <w:r>
        <w:rPr>
          <w:b/>
          <w:color w:val="365F91" w:themeColor="accent1" w:themeShade="BF"/>
          <w:sz w:val="24"/>
          <w:szCs w:val="24"/>
        </w:rPr>
        <w:t>Industry Prospects</w:t>
      </w:r>
    </w:p>
    <w:p w:rsidR="00692C0D" w:rsidRDefault="00692C0D" w:rsidP="00BB1A5E">
      <w:pPr>
        <w:autoSpaceDE w:val="0"/>
        <w:autoSpaceDN w:val="0"/>
        <w:adjustRightInd w:val="0"/>
        <w:spacing w:after="0" w:line="240" w:lineRule="auto"/>
        <w:jc w:val="both"/>
        <w:rPr>
          <w:rFonts w:cs="Arial"/>
        </w:rPr>
      </w:pPr>
    </w:p>
    <w:p w:rsidR="002642B1" w:rsidRPr="00D13525" w:rsidRDefault="00692C0D" w:rsidP="00BB1A5E">
      <w:pPr>
        <w:autoSpaceDE w:val="0"/>
        <w:autoSpaceDN w:val="0"/>
        <w:adjustRightInd w:val="0"/>
        <w:spacing w:after="0" w:line="240" w:lineRule="auto"/>
        <w:jc w:val="both"/>
        <w:rPr>
          <w:rFonts w:cs="Arial"/>
        </w:rPr>
      </w:pPr>
      <w:r>
        <w:rPr>
          <w:rFonts w:cs="Arial"/>
        </w:rPr>
        <w:t xml:space="preserve">Clearly, to become a major contributor to </w:t>
      </w:r>
      <w:r w:rsidR="00042B65" w:rsidRPr="00980B38">
        <w:rPr>
          <w:rFonts w:cs="Arial"/>
        </w:rPr>
        <w:t>CO</w:t>
      </w:r>
      <w:r w:rsidR="00042B65" w:rsidRPr="00980B38">
        <w:rPr>
          <w:rFonts w:cs="Arial"/>
          <w:vertAlign w:val="subscript"/>
        </w:rPr>
        <w:t>2</w:t>
      </w:r>
      <w:r w:rsidR="00042B65">
        <w:rPr>
          <w:rFonts w:cs="Arial"/>
          <w:vertAlign w:val="subscript"/>
        </w:rPr>
        <w:t xml:space="preserve"> </w:t>
      </w:r>
      <w:r w:rsidR="00042B65">
        <w:rPr>
          <w:rFonts w:cs="Arial"/>
        </w:rPr>
        <w:t>abatement, there will have to a rapid escalation in the number of CCS projects planned. For now, there is quite a high chance of failure of projects currently on the drawing board.</w:t>
      </w:r>
      <w:r w:rsidR="002642B1">
        <w:br w:type="page"/>
      </w:r>
    </w:p>
    <w:p w:rsidR="002642B1" w:rsidRPr="00C95F78" w:rsidRDefault="002642B1" w:rsidP="00621010">
      <w:pPr>
        <w:pStyle w:val="Caption"/>
        <w:contextualSpacing/>
        <w:jc w:val="center"/>
        <w:rPr>
          <w:sz w:val="28"/>
          <w:szCs w:val="28"/>
        </w:rPr>
      </w:pPr>
      <w:bookmarkStart w:id="172" w:name="_Ref263234379"/>
      <w:bookmarkStart w:id="173" w:name="_Ref263234365"/>
      <w:bookmarkStart w:id="174" w:name="_Toc26367174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89</w:t>
      </w:r>
      <w:r w:rsidR="00D50FDC" w:rsidRPr="00C95F78">
        <w:rPr>
          <w:sz w:val="28"/>
          <w:szCs w:val="28"/>
        </w:rPr>
        <w:fldChar w:fldCharType="end"/>
      </w:r>
      <w:bookmarkEnd w:id="172"/>
      <w:r w:rsidRPr="00C95F78">
        <w:rPr>
          <w:sz w:val="28"/>
          <w:szCs w:val="28"/>
        </w:rPr>
        <w:t xml:space="preserve">: </w:t>
      </w:r>
      <w:r>
        <w:rPr>
          <w:sz w:val="28"/>
          <w:szCs w:val="28"/>
        </w:rPr>
        <w:t xml:space="preserve">Global CCS Institute </w:t>
      </w:r>
      <w:r w:rsidRPr="00C95F78">
        <w:rPr>
          <w:sz w:val="28"/>
          <w:szCs w:val="28"/>
        </w:rPr>
        <w:t xml:space="preserve">Asset </w:t>
      </w:r>
      <w:r>
        <w:rPr>
          <w:sz w:val="28"/>
          <w:szCs w:val="28"/>
        </w:rPr>
        <w:t>Lifecycle M</w:t>
      </w:r>
      <w:r w:rsidRPr="00C95F78">
        <w:rPr>
          <w:sz w:val="28"/>
          <w:szCs w:val="28"/>
        </w:rPr>
        <w:t>odel</w:t>
      </w:r>
      <w:bookmarkEnd w:id="173"/>
      <w:bookmarkEnd w:id="174"/>
    </w:p>
    <w:p w:rsidR="002642B1" w:rsidRPr="00C95F78" w:rsidRDefault="002642B1" w:rsidP="00621010">
      <w:pPr>
        <w:autoSpaceDE w:val="0"/>
        <w:autoSpaceDN w:val="0"/>
        <w:adjustRightInd w:val="0"/>
        <w:spacing w:after="0" w:line="240" w:lineRule="auto"/>
        <w:contextualSpacing/>
        <w:jc w:val="center"/>
        <w:rPr>
          <w:rFonts w:cs="Arial"/>
          <w:sz w:val="20"/>
          <w:szCs w:val="20"/>
        </w:rPr>
      </w:pPr>
      <w:r w:rsidRPr="00C95F78">
        <w:rPr>
          <w:rFonts w:cs="Arial"/>
          <w:noProof/>
          <w:sz w:val="20"/>
          <w:szCs w:val="20"/>
          <w:lang w:val="en-US"/>
        </w:rPr>
        <w:drawing>
          <wp:inline distT="0" distB="0" distL="0" distR="0">
            <wp:extent cx="5730240" cy="1725295"/>
            <wp:effectExtent l="19050" t="0" r="3810" b="0"/>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5730240" cy="1725295"/>
                    </a:xfrm>
                    <a:prstGeom prst="rect">
                      <a:avLst/>
                    </a:prstGeom>
                    <a:noFill/>
                    <a:ln w="9525">
                      <a:noFill/>
                      <a:miter lim="800000"/>
                      <a:headEnd/>
                      <a:tailEnd/>
                    </a:ln>
                  </pic:spPr>
                </pic:pic>
              </a:graphicData>
            </a:graphic>
          </wp:inline>
        </w:drawing>
      </w:r>
    </w:p>
    <w:p w:rsidR="00042B65" w:rsidRPr="00C95F78" w:rsidRDefault="00042B65" w:rsidP="00BB1A5E">
      <w:pPr>
        <w:autoSpaceDE w:val="0"/>
        <w:autoSpaceDN w:val="0"/>
        <w:adjustRightInd w:val="0"/>
        <w:spacing w:after="0" w:line="240" w:lineRule="auto"/>
        <w:contextualSpacing/>
        <w:jc w:val="both"/>
      </w:pPr>
    </w:p>
    <w:p w:rsidR="00042B65" w:rsidRPr="00C95F78" w:rsidRDefault="00042B65" w:rsidP="00BB1A5E">
      <w:pPr>
        <w:autoSpaceDE w:val="0"/>
        <w:autoSpaceDN w:val="0"/>
        <w:adjustRightInd w:val="0"/>
        <w:spacing w:after="0" w:line="240" w:lineRule="auto"/>
        <w:contextualSpacing/>
        <w:jc w:val="both"/>
      </w:pPr>
    </w:p>
    <w:p w:rsidR="00042B65" w:rsidRPr="00C95F78" w:rsidRDefault="00042B65" w:rsidP="00621010">
      <w:pPr>
        <w:pStyle w:val="Caption"/>
        <w:jc w:val="center"/>
        <w:rPr>
          <w:rFonts w:cs="Arial"/>
          <w:sz w:val="20"/>
          <w:szCs w:val="20"/>
        </w:rPr>
      </w:pPr>
      <w:bookmarkStart w:id="175" w:name="_Toc26367174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90</w:t>
      </w:r>
      <w:r w:rsidR="00D50FDC" w:rsidRPr="00C95F78">
        <w:rPr>
          <w:sz w:val="28"/>
          <w:szCs w:val="28"/>
        </w:rPr>
        <w:fldChar w:fldCharType="end"/>
      </w:r>
      <w:r w:rsidRPr="00C95F78">
        <w:rPr>
          <w:sz w:val="28"/>
          <w:szCs w:val="28"/>
        </w:rPr>
        <w:t xml:space="preserve">: </w:t>
      </w:r>
      <w:r w:rsidR="002642B1">
        <w:rPr>
          <w:sz w:val="28"/>
          <w:szCs w:val="28"/>
        </w:rPr>
        <w:t>Asset Life Cycle stage of Integrated CCS Projects</w:t>
      </w:r>
      <w:bookmarkEnd w:id="175"/>
    </w:p>
    <w:p w:rsidR="00042B65" w:rsidRPr="00C95F78" w:rsidRDefault="00042B65" w:rsidP="00621010">
      <w:pPr>
        <w:autoSpaceDE w:val="0"/>
        <w:autoSpaceDN w:val="0"/>
        <w:adjustRightInd w:val="0"/>
        <w:spacing w:after="0" w:line="240" w:lineRule="auto"/>
        <w:contextualSpacing/>
        <w:jc w:val="center"/>
        <w:rPr>
          <w:rFonts w:cs="Arial"/>
          <w:sz w:val="20"/>
          <w:szCs w:val="20"/>
        </w:rPr>
      </w:pPr>
      <w:r w:rsidRPr="00C95F78">
        <w:rPr>
          <w:rFonts w:cs="Arial"/>
          <w:noProof/>
          <w:sz w:val="20"/>
          <w:szCs w:val="20"/>
          <w:lang w:val="en-US"/>
        </w:rPr>
        <w:drawing>
          <wp:inline distT="0" distB="0" distL="0" distR="0">
            <wp:extent cx="5730240" cy="2206625"/>
            <wp:effectExtent l="19050" t="0" r="3810" b="0"/>
            <wp:docPr id="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srcRect/>
                    <a:stretch>
                      <a:fillRect/>
                    </a:stretch>
                  </pic:blipFill>
                  <pic:spPr bwMode="auto">
                    <a:xfrm>
                      <a:off x="0" y="0"/>
                      <a:ext cx="5730240" cy="2206625"/>
                    </a:xfrm>
                    <a:prstGeom prst="rect">
                      <a:avLst/>
                    </a:prstGeom>
                    <a:noFill/>
                    <a:ln w="9525">
                      <a:noFill/>
                      <a:miter lim="800000"/>
                      <a:headEnd/>
                      <a:tailEnd/>
                    </a:ln>
                  </pic:spPr>
                </pic:pic>
              </a:graphicData>
            </a:graphic>
          </wp:inline>
        </w:drawing>
      </w:r>
    </w:p>
    <w:p w:rsidR="00F419DB" w:rsidRPr="00C95F78" w:rsidRDefault="00F419DB" w:rsidP="00BB1A5E">
      <w:pPr>
        <w:autoSpaceDE w:val="0"/>
        <w:autoSpaceDN w:val="0"/>
        <w:adjustRightInd w:val="0"/>
        <w:spacing w:after="0" w:line="240" w:lineRule="auto"/>
        <w:jc w:val="both"/>
        <w:rPr>
          <w:rFonts w:cs="Arial"/>
          <w:sz w:val="20"/>
          <w:szCs w:val="20"/>
        </w:rPr>
      </w:pPr>
    </w:p>
    <w:p w:rsidR="00F419DB" w:rsidRPr="00C95F78" w:rsidRDefault="00F419DB" w:rsidP="00BB1A5E">
      <w:pPr>
        <w:pStyle w:val="Caption"/>
        <w:jc w:val="both"/>
        <w:rPr>
          <w:sz w:val="28"/>
          <w:szCs w:val="28"/>
        </w:rPr>
      </w:pPr>
      <w:bookmarkStart w:id="176" w:name="_Toc26367174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91</w:t>
      </w:r>
      <w:r w:rsidR="00D50FDC" w:rsidRPr="00C95F78">
        <w:rPr>
          <w:sz w:val="28"/>
          <w:szCs w:val="28"/>
        </w:rPr>
        <w:fldChar w:fldCharType="end"/>
      </w:r>
      <w:r w:rsidR="002642B1">
        <w:rPr>
          <w:sz w:val="28"/>
          <w:szCs w:val="28"/>
        </w:rPr>
        <w:t>: Hypothetical Failure S</w:t>
      </w:r>
      <w:r w:rsidRPr="00C95F78">
        <w:rPr>
          <w:sz w:val="28"/>
          <w:szCs w:val="28"/>
        </w:rPr>
        <w:t xml:space="preserve">cenarios for </w:t>
      </w:r>
      <w:r w:rsidR="002642B1">
        <w:rPr>
          <w:sz w:val="28"/>
          <w:szCs w:val="28"/>
        </w:rPr>
        <w:t>Integrated CCS Projects</w:t>
      </w:r>
      <w:bookmarkEnd w:id="176"/>
    </w:p>
    <w:p w:rsidR="00F419DB" w:rsidRPr="00C95F78" w:rsidRDefault="00F419DB" w:rsidP="00621010">
      <w:pPr>
        <w:autoSpaceDE w:val="0"/>
        <w:autoSpaceDN w:val="0"/>
        <w:adjustRightInd w:val="0"/>
        <w:spacing w:after="0" w:line="240" w:lineRule="auto"/>
        <w:jc w:val="center"/>
        <w:rPr>
          <w:rFonts w:cs="Arial"/>
          <w:sz w:val="20"/>
          <w:szCs w:val="20"/>
        </w:rPr>
      </w:pPr>
      <w:r w:rsidRPr="00C95F78">
        <w:rPr>
          <w:rFonts w:cs="Arial"/>
          <w:noProof/>
          <w:sz w:val="20"/>
          <w:szCs w:val="20"/>
          <w:lang w:val="en-US"/>
        </w:rPr>
        <w:drawing>
          <wp:inline distT="0" distB="0" distL="0" distR="0">
            <wp:extent cx="4440323" cy="3302759"/>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srcRect l="-5122"/>
                    <a:stretch>
                      <a:fillRect/>
                    </a:stretch>
                  </pic:blipFill>
                  <pic:spPr bwMode="auto">
                    <a:xfrm>
                      <a:off x="0" y="0"/>
                      <a:ext cx="4440323" cy="3302759"/>
                    </a:xfrm>
                    <a:prstGeom prst="rect">
                      <a:avLst/>
                    </a:prstGeom>
                    <a:noFill/>
                    <a:ln w="9525">
                      <a:noFill/>
                      <a:miter lim="800000"/>
                      <a:headEnd/>
                      <a:tailEnd/>
                    </a:ln>
                  </pic:spPr>
                </pic:pic>
              </a:graphicData>
            </a:graphic>
          </wp:inline>
        </w:drawing>
      </w:r>
    </w:p>
    <w:p w:rsidR="00D13525" w:rsidRPr="00C95F78" w:rsidRDefault="00D13525" w:rsidP="00BB1A5E">
      <w:pPr>
        <w:autoSpaceDE w:val="0"/>
        <w:autoSpaceDN w:val="0"/>
        <w:adjustRightInd w:val="0"/>
        <w:spacing w:after="0" w:line="240" w:lineRule="auto"/>
        <w:contextualSpacing/>
        <w:jc w:val="both"/>
        <w:rPr>
          <w:rFonts w:cs="Arial"/>
        </w:rPr>
      </w:pPr>
      <w:r>
        <w:rPr>
          <w:rFonts w:cs="Arial"/>
        </w:rPr>
        <w:t xml:space="preserve">In its study, the Global CCS Institute </w:t>
      </w:r>
      <w:r>
        <w:t>explained the prospects for success of current and planned projects with reference to an asset lifecycle model.</w:t>
      </w:r>
      <w:r w:rsidRPr="00C95F78">
        <w:t xml:space="preserve"> </w:t>
      </w:r>
      <w:r w:rsidRPr="00C95F78">
        <w:rPr>
          <w:rFonts w:cs="Arial"/>
        </w:rPr>
        <w:t>The confidence of a project achieving the “Operate” stage increases as it p</w:t>
      </w:r>
      <w:r>
        <w:rPr>
          <w:rFonts w:cs="Arial"/>
        </w:rPr>
        <w:t>rogresses through its lifecycle, as</w:t>
      </w:r>
      <w:r w:rsidRPr="00C95F78">
        <w:rPr>
          <w:rFonts w:cs="Arial"/>
        </w:rPr>
        <w:t xml:space="preserve"> uncertainty surrounding the project’s technical and commercial viability reduces.</w:t>
      </w:r>
      <w:r>
        <w:rPr>
          <w:rFonts w:cs="Arial"/>
        </w:rPr>
        <w:t xml:space="preserve"> But, projects fail as each decision gate is reached</w:t>
      </w:r>
      <w:r w:rsidRPr="00C95F78">
        <w:rPr>
          <w:rFonts w:cs="Arial"/>
        </w:rPr>
        <w:t>.</w:t>
      </w:r>
      <w:r>
        <w:rPr>
          <w:rFonts w:cs="Arial"/>
        </w:rPr>
        <w:t xml:space="preserve"> Those projects reaching the “Define” stage are quite likely to go ahead, but already 10-15% of a project’s installed cost has been incurred by the time it reaches this stage.</w:t>
      </w:r>
    </w:p>
    <w:p w:rsidR="00D13525" w:rsidRPr="00C95F78" w:rsidRDefault="00D13525" w:rsidP="00BB1A5E">
      <w:pPr>
        <w:autoSpaceDE w:val="0"/>
        <w:autoSpaceDN w:val="0"/>
        <w:adjustRightInd w:val="0"/>
        <w:spacing w:after="0" w:line="240" w:lineRule="auto"/>
        <w:contextualSpacing/>
        <w:jc w:val="both"/>
      </w:pPr>
    </w:p>
    <w:p w:rsidR="00D13525" w:rsidRDefault="00D13525" w:rsidP="00BB1A5E">
      <w:pPr>
        <w:autoSpaceDE w:val="0"/>
        <w:autoSpaceDN w:val="0"/>
        <w:adjustRightInd w:val="0"/>
        <w:spacing w:after="0" w:line="240" w:lineRule="auto"/>
        <w:contextualSpacing/>
        <w:jc w:val="both"/>
      </w:pPr>
      <w:r>
        <w:t>Looking at the 62 integrated projects planned, most of them are still at the “Identify” or “Evaluate” stage, so failure is still possible, indeed likely in many instances. The CCS provided three scenarios for the likely success of the 62 projects. It showed 18 coming to fruition as its realistic scenario, most of those relating to oil and gas extraction and incorporating EOR or natural gas processing. This is not an optimistic picture, and suggests that full commercialisation of CCS, especially outside the limited confines of the oil and gas extraction business, is still a long way off.</w:t>
      </w:r>
    </w:p>
    <w:p w:rsidR="00D13525" w:rsidRDefault="00D13525" w:rsidP="00BB1A5E">
      <w:pPr>
        <w:autoSpaceDE w:val="0"/>
        <w:autoSpaceDN w:val="0"/>
        <w:adjustRightInd w:val="0"/>
        <w:spacing w:after="0" w:line="240" w:lineRule="auto"/>
        <w:contextualSpacing/>
        <w:jc w:val="both"/>
      </w:pPr>
    </w:p>
    <w:p w:rsidR="00D13525" w:rsidRDefault="00D13525" w:rsidP="00BB1A5E">
      <w:pPr>
        <w:autoSpaceDE w:val="0"/>
        <w:autoSpaceDN w:val="0"/>
        <w:adjustRightInd w:val="0"/>
        <w:spacing w:after="0" w:line="240" w:lineRule="auto"/>
        <w:contextualSpacing/>
        <w:jc w:val="both"/>
      </w:pPr>
      <w:r>
        <w:t>This view is confirmed by others. It is still the case, however, that there are major projects going ahead which will demonstrate the viability of the alternative CCS technology options, providing a testing ground that will provide good practical experience that can be used in cheaper, more commercial projects soon after.</w:t>
      </w:r>
    </w:p>
    <w:p w:rsidR="00D13525" w:rsidRDefault="00D13525" w:rsidP="00BB1A5E">
      <w:pPr>
        <w:autoSpaceDE w:val="0"/>
        <w:autoSpaceDN w:val="0"/>
        <w:adjustRightInd w:val="0"/>
        <w:spacing w:after="0" w:line="240" w:lineRule="auto"/>
        <w:contextualSpacing/>
        <w:jc w:val="both"/>
      </w:pPr>
    </w:p>
    <w:p w:rsidR="003B2652" w:rsidRPr="00C95F78" w:rsidRDefault="003B2652" w:rsidP="00BB1A5E">
      <w:pPr>
        <w:autoSpaceDE w:val="0"/>
        <w:autoSpaceDN w:val="0"/>
        <w:adjustRightInd w:val="0"/>
        <w:spacing w:after="0" w:line="240" w:lineRule="auto"/>
        <w:contextualSpacing/>
        <w:jc w:val="both"/>
      </w:pPr>
      <w:r>
        <w:t>There is a real disadvantage to those funding early, large scale, commercial development of technologies such as CCS. The investment required is large, technology risks high, and the first developments are almost certain to be followed by cheaper ones soon after. This being said, once the initial hurdle has been crossed, expansion can go ahead quickly. We believe that current developments will be sufficient for the cost and technology hurdle to be crossed successfully around the middle of this decade.</w:t>
      </w:r>
    </w:p>
    <w:p w:rsidR="003B2652" w:rsidRPr="00C95F78" w:rsidRDefault="003B2652" w:rsidP="00BB1A5E">
      <w:pPr>
        <w:autoSpaceDE w:val="0"/>
        <w:autoSpaceDN w:val="0"/>
        <w:adjustRightInd w:val="0"/>
        <w:spacing w:after="0" w:line="240" w:lineRule="auto"/>
        <w:contextualSpacing/>
        <w:jc w:val="both"/>
      </w:pPr>
    </w:p>
    <w:p w:rsidR="00C338BC" w:rsidRDefault="00C338BC" w:rsidP="00BB1A5E">
      <w:pPr>
        <w:autoSpaceDE w:val="0"/>
        <w:autoSpaceDN w:val="0"/>
        <w:adjustRightInd w:val="0"/>
        <w:spacing w:after="0" w:line="240" w:lineRule="auto"/>
        <w:contextualSpacing/>
        <w:jc w:val="both"/>
      </w:pPr>
      <w:r>
        <w:t xml:space="preserve">In looking at the timing of CCS roll out in Europe, McKinsey came up with two scenarios. It shows the development of significant pilot and demonstration capacity from </w:t>
      </w:r>
      <w:r w:rsidR="00384BA0">
        <w:t>around 2015. Thereafter, in its higher roll-out scenario, it shows a fast take off in CCS from around 2017 onwards. In its slower roll out scenario, it shows the market being virtually flat until 2020, as the experience from existing plants is consolidated into a more secure technology.</w:t>
      </w:r>
    </w:p>
    <w:p w:rsidR="00C338BC" w:rsidRDefault="00C338BC" w:rsidP="00BB1A5E">
      <w:pPr>
        <w:spacing w:line="240" w:lineRule="auto"/>
        <w:contextualSpacing/>
        <w:jc w:val="both"/>
      </w:pPr>
    </w:p>
    <w:p w:rsidR="00C338BC" w:rsidRPr="0097729C" w:rsidRDefault="00C338BC" w:rsidP="00621010">
      <w:pPr>
        <w:pStyle w:val="Caption"/>
        <w:contextualSpacing/>
        <w:jc w:val="center"/>
        <w:rPr>
          <w:sz w:val="22"/>
          <w:szCs w:val="22"/>
        </w:rPr>
      </w:pPr>
      <w:bookmarkStart w:id="177" w:name="_Toc263165495"/>
      <w:bookmarkStart w:id="178" w:name="_Toc26367174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92</w:t>
      </w:r>
      <w:r w:rsidR="00D50FDC" w:rsidRPr="00C95F78">
        <w:rPr>
          <w:sz w:val="28"/>
          <w:szCs w:val="28"/>
        </w:rPr>
        <w:fldChar w:fldCharType="end"/>
      </w:r>
      <w:r w:rsidRPr="00C95F78">
        <w:rPr>
          <w:sz w:val="28"/>
          <w:szCs w:val="28"/>
        </w:rPr>
        <w:t xml:space="preserve">: Alternative CCS Roll Out </w:t>
      </w:r>
      <w:r w:rsidRPr="0097729C">
        <w:rPr>
          <w:sz w:val="28"/>
          <w:szCs w:val="28"/>
        </w:rPr>
        <w:t>Timelines</w:t>
      </w:r>
      <w:r w:rsidRPr="0097729C">
        <w:rPr>
          <w:rStyle w:val="FootnoteReference"/>
          <w:sz w:val="22"/>
          <w:szCs w:val="22"/>
        </w:rPr>
        <w:footnoteReference w:id="30"/>
      </w:r>
      <w:bookmarkEnd w:id="177"/>
      <w:bookmarkEnd w:id="178"/>
    </w:p>
    <w:p w:rsidR="00C338BC" w:rsidRDefault="00C338BC" w:rsidP="00BB1A5E">
      <w:pPr>
        <w:spacing w:line="240" w:lineRule="auto"/>
        <w:contextualSpacing/>
        <w:jc w:val="both"/>
      </w:pPr>
      <w:r w:rsidRPr="00C338BC">
        <w:rPr>
          <w:noProof/>
          <w:lang w:val="en-US"/>
        </w:rPr>
        <w:drawing>
          <wp:inline distT="0" distB="0" distL="0" distR="0">
            <wp:extent cx="5865525" cy="2524384"/>
            <wp:effectExtent l="19050" t="0" r="1875" b="0"/>
            <wp:docPr id="1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srcRect t="28236"/>
                    <a:stretch>
                      <a:fillRect/>
                    </a:stretch>
                  </pic:blipFill>
                  <pic:spPr bwMode="auto">
                    <a:xfrm>
                      <a:off x="0" y="0"/>
                      <a:ext cx="5865525" cy="2524384"/>
                    </a:xfrm>
                    <a:prstGeom prst="rect">
                      <a:avLst/>
                    </a:prstGeom>
                    <a:noFill/>
                    <a:ln w="9525">
                      <a:noFill/>
                      <a:miter lim="800000"/>
                      <a:headEnd/>
                      <a:tailEnd/>
                    </a:ln>
                  </pic:spPr>
                </pic:pic>
              </a:graphicData>
            </a:graphic>
          </wp:inline>
        </w:drawing>
      </w:r>
    </w:p>
    <w:p w:rsidR="00D13525" w:rsidRDefault="00D13525" w:rsidP="00BB1A5E">
      <w:pPr>
        <w:autoSpaceDE w:val="0"/>
        <w:autoSpaceDN w:val="0"/>
        <w:adjustRightInd w:val="0"/>
        <w:spacing w:after="0" w:line="240" w:lineRule="auto"/>
        <w:contextualSpacing/>
        <w:jc w:val="both"/>
      </w:pPr>
      <w:r>
        <w:t>In our forecasts, we take a position between the extremes, showing relatively slow but significant development from 2018 onwards. We also take into account the IEA’s assessment of where CCS development is likely to be geographically.</w:t>
      </w:r>
    </w:p>
    <w:p w:rsidR="00D13525" w:rsidRDefault="00D13525" w:rsidP="00BB1A5E">
      <w:pPr>
        <w:spacing w:line="240" w:lineRule="auto"/>
        <w:contextualSpacing/>
        <w:jc w:val="both"/>
      </w:pPr>
    </w:p>
    <w:p w:rsidR="00384BA0" w:rsidRPr="001268A7" w:rsidRDefault="00384BA0"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79" w:name="_Toc263688611"/>
      <w:r>
        <w:rPr>
          <w:rFonts w:asciiTheme="minorHAnsi" w:hAnsiTheme="minorHAnsi"/>
          <w:color w:val="365F91" w:themeColor="accent1" w:themeShade="BF"/>
          <w:sz w:val="26"/>
          <w:szCs w:val="26"/>
        </w:rPr>
        <w:t>The Impact on Copper</w:t>
      </w:r>
      <w:bookmarkEnd w:id="179"/>
    </w:p>
    <w:p w:rsidR="00384BA0" w:rsidRPr="00C95F78" w:rsidRDefault="00384BA0" w:rsidP="00BB1A5E">
      <w:pPr>
        <w:autoSpaceDE w:val="0"/>
        <w:autoSpaceDN w:val="0"/>
        <w:adjustRightInd w:val="0"/>
        <w:spacing w:after="0" w:line="240" w:lineRule="auto"/>
        <w:contextualSpacing/>
        <w:jc w:val="both"/>
      </w:pPr>
    </w:p>
    <w:p w:rsidR="00384BA0" w:rsidRPr="00C95F78" w:rsidRDefault="00384BA0" w:rsidP="00BB1A5E">
      <w:pPr>
        <w:autoSpaceDE w:val="0"/>
        <w:autoSpaceDN w:val="0"/>
        <w:adjustRightInd w:val="0"/>
        <w:spacing w:after="0" w:line="240" w:lineRule="auto"/>
        <w:contextualSpacing/>
        <w:jc w:val="both"/>
      </w:pPr>
      <w:r>
        <w:t>The discussion above in Section 3.9.4 indicates that by 2020 we will still be at a very early stage of the CCS business. The projects concerned will account for a tiny portion of total power generating stations, and will have barely touched industry. Because of this, the amount of copper consumed within our forecast horizon will be small. Longer term, we envisage strong market growth to create a substantial market for copper.</w:t>
      </w:r>
    </w:p>
    <w:p w:rsidR="00384BA0" w:rsidRPr="00C95F78" w:rsidRDefault="00384BA0" w:rsidP="00BB1A5E">
      <w:pPr>
        <w:autoSpaceDE w:val="0"/>
        <w:autoSpaceDN w:val="0"/>
        <w:adjustRightInd w:val="0"/>
        <w:spacing w:after="0" w:line="240" w:lineRule="auto"/>
        <w:contextualSpacing/>
        <w:jc w:val="both"/>
      </w:pPr>
    </w:p>
    <w:p w:rsidR="00251BE9" w:rsidRDefault="00177565" w:rsidP="00BB1A5E">
      <w:pPr>
        <w:autoSpaceDE w:val="0"/>
        <w:autoSpaceDN w:val="0"/>
        <w:adjustRightInd w:val="0"/>
        <w:spacing w:after="0" w:line="240" w:lineRule="auto"/>
        <w:contextualSpacing/>
        <w:jc w:val="both"/>
      </w:pPr>
      <w:r>
        <w:t>To give an idea of the scale of development achievable by 2020, we forecast CCS abatement of 400 MtCO</w:t>
      </w:r>
      <w:r w:rsidRPr="0097729C">
        <w:rPr>
          <w:vertAlign w:val="subscript"/>
        </w:rPr>
        <w:t>2</w:t>
      </w:r>
      <w:r w:rsidRPr="0097729C">
        <w:t xml:space="preserve"> </w:t>
      </w:r>
      <w:r w:rsidR="00D005A2">
        <w:t>p.a.</w:t>
      </w:r>
      <w:r>
        <w:t xml:space="preserve"> by 2020. This is equivalent to the output of just </w:t>
      </w:r>
      <w:r w:rsidR="00251BE9">
        <w:t>2.7</w:t>
      </w:r>
      <w:r>
        <w:t xml:space="preserve"> GW of fossil fuel power station </w:t>
      </w:r>
      <w:r w:rsidR="00251BE9">
        <w:t>capacity</w:t>
      </w:r>
      <w:r>
        <w:t>, or only about 0.0</w:t>
      </w:r>
      <w:r w:rsidR="00251BE9">
        <w:t>7</w:t>
      </w:r>
      <w:r>
        <w:t>% of all emissions by the electricity sector</w:t>
      </w:r>
      <w:r w:rsidR="00251BE9">
        <w:t xml:space="preserve"> (based on an assumed 600 grams emission per kWh).</w:t>
      </w:r>
    </w:p>
    <w:p w:rsidR="00251BE9" w:rsidRDefault="00251BE9" w:rsidP="00BB1A5E">
      <w:pPr>
        <w:autoSpaceDE w:val="0"/>
        <w:autoSpaceDN w:val="0"/>
        <w:adjustRightInd w:val="0"/>
        <w:spacing w:after="0" w:line="240" w:lineRule="auto"/>
        <w:contextualSpacing/>
        <w:jc w:val="both"/>
      </w:pPr>
    </w:p>
    <w:p w:rsidR="00384BA0" w:rsidRDefault="00251BE9" w:rsidP="00BB1A5E">
      <w:pPr>
        <w:autoSpaceDE w:val="0"/>
        <w:autoSpaceDN w:val="0"/>
        <w:adjustRightInd w:val="0"/>
        <w:spacing w:after="0" w:line="240" w:lineRule="auto"/>
        <w:contextualSpacing/>
        <w:jc w:val="both"/>
      </w:pPr>
      <w:r>
        <w:t>Our assumed ratio of copper use to power station capacity is 700 tonnes of copper to 1 GW. This includes not only the works at the power station, but also copper use in transport and in storage. Put alternatively, we put the ratio at around 1 kt of copper to a little more than 20 MtCO</w:t>
      </w:r>
      <w:r w:rsidRPr="00BB1A5E">
        <w:rPr>
          <w:vertAlign w:val="subscript"/>
        </w:rPr>
        <w:t>2</w:t>
      </w:r>
      <w:r w:rsidRPr="0097729C">
        <w:t xml:space="preserve"> </w:t>
      </w:r>
      <w:r>
        <w:t>/yr abatement. Based on these ratios, we forecast an installed base of copper in CCS of 19 kt by 2020, the amount being installed that year standing at 5.5 kt in that year. For Europe, we forecast 2.0 kt consumption in 2020.</w:t>
      </w:r>
    </w:p>
    <w:p w:rsidR="00251BE9" w:rsidRDefault="00251BE9" w:rsidP="00BB1A5E">
      <w:pPr>
        <w:autoSpaceDE w:val="0"/>
        <w:autoSpaceDN w:val="0"/>
        <w:adjustRightInd w:val="0"/>
        <w:spacing w:after="0" w:line="240" w:lineRule="auto"/>
        <w:contextualSpacing/>
        <w:jc w:val="both"/>
      </w:pPr>
    </w:p>
    <w:p w:rsidR="00251BE9" w:rsidRDefault="00251BE9" w:rsidP="00BB1A5E">
      <w:pPr>
        <w:autoSpaceDE w:val="0"/>
        <w:autoSpaceDN w:val="0"/>
        <w:adjustRightInd w:val="0"/>
        <w:spacing w:after="0" w:line="240" w:lineRule="auto"/>
        <w:contextualSpacing/>
        <w:jc w:val="both"/>
      </w:pPr>
      <w:r>
        <w:t xml:space="preserve">Winding wire in pumps, </w:t>
      </w:r>
      <w:r w:rsidR="003B2652">
        <w:t>motors and transformers will be an important element in the copper consumption profile in CCS. Energy cable use will also be significant. Where offshore storage is involved, some copper nickel alloys may be required for corrosion protection.</w:t>
      </w:r>
    </w:p>
    <w:p w:rsidR="00384BA0" w:rsidRDefault="00384BA0" w:rsidP="00BB1A5E">
      <w:pPr>
        <w:spacing w:line="240" w:lineRule="auto"/>
        <w:contextualSpacing/>
        <w:jc w:val="both"/>
      </w:pPr>
    </w:p>
    <w:p w:rsidR="003B2652" w:rsidRPr="00C95F78" w:rsidRDefault="003B2652" w:rsidP="00621010">
      <w:pPr>
        <w:pStyle w:val="Caption"/>
        <w:contextualSpacing/>
        <w:jc w:val="center"/>
        <w:rPr>
          <w:color w:val="auto"/>
          <w:sz w:val="22"/>
          <w:szCs w:val="22"/>
        </w:rPr>
      </w:pPr>
      <w:bookmarkStart w:id="180" w:name="_Toc26367174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93</w:t>
      </w:r>
      <w:r w:rsidR="00D50FDC" w:rsidRPr="00C95F78">
        <w:rPr>
          <w:sz w:val="28"/>
          <w:szCs w:val="28"/>
        </w:rPr>
        <w:fldChar w:fldCharType="end"/>
      </w:r>
      <w:r w:rsidRPr="00C95F78">
        <w:rPr>
          <w:sz w:val="28"/>
          <w:szCs w:val="28"/>
        </w:rPr>
        <w:t>:</w:t>
      </w:r>
      <w:r w:rsidR="00C37C8A">
        <w:rPr>
          <w:sz w:val="28"/>
          <w:szCs w:val="28"/>
        </w:rPr>
        <w:t xml:space="preserve"> </w:t>
      </w:r>
      <w:r>
        <w:rPr>
          <w:sz w:val="28"/>
          <w:szCs w:val="28"/>
        </w:rPr>
        <w:t>CCS Market Growth and Copper Use</w:t>
      </w:r>
      <w:bookmarkEnd w:id="180"/>
    </w:p>
    <w:p w:rsidR="00C338BC" w:rsidRDefault="003B2652" w:rsidP="00BB1A5E">
      <w:pPr>
        <w:spacing w:line="240" w:lineRule="auto"/>
        <w:contextualSpacing/>
        <w:jc w:val="both"/>
      </w:pPr>
      <w:r w:rsidRPr="003B2652">
        <w:rPr>
          <w:noProof/>
          <w:lang w:val="en-US"/>
        </w:rPr>
        <w:drawing>
          <wp:inline distT="0" distB="0" distL="0" distR="0">
            <wp:extent cx="5831840" cy="2796903"/>
            <wp:effectExtent l="19050" t="0" r="0" b="0"/>
            <wp:docPr id="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a:stretch>
                      <a:fillRect/>
                    </a:stretch>
                  </pic:blipFill>
                  <pic:spPr bwMode="auto">
                    <a:xfrm>
                      <a:off x="0" y="0"/>
                      <a:ext cx="5831840" cy="2796903"/>
                    </a:xfrm>
                    <a:prstGeom prst="rect">
                      <a:avLst/>
                    </a:prstGeom>
                    <a:noFill/>
                    <a:ln w="9525">
                      <a:noFill/>
                      <a:miter lim="800000"/>
                      <a:headEnd/>
                      <a:tailEnd/>
                    </a:ln>
                  </pic:spPr>
                </pic:pic>
              </a:graphicData>
            </a:graphic>
          </wp:inline>
        </w:drawing>
      </w:r>
    </w:p>
    <w:p w:rsidR="00F419DB" w:rsidRPr="00C95F78" w:rsidRDefault="00F419DB" w:rsidP="00BB1A5E">
      <w:pPr>
        <w:spacing w:line="240" w:lineRule="auto"/>
        <w:contextualSpacing/>
        <w:jc w:val="both"/>
      </w:pPr>
      <w:r w:rsidRPr="00C95F78">
        <w:br w:type="page"/>
      </w:r>
    </w:p>
    <w:p w:rsidR="00335E06" w:rsidRDefault="00335E06">
      <w:pPr>
        <w:rPr>
          <w:rFonts w:eastAsiaTheme="majorEastAsia" w:cstheme="majorBidi"/>
          <w:b/>
          <w:bCs/>
          <w:color w:val="365F91" w:themeColor="accent1" w:themeShade="BF"/>
          <w:sz w:val="36"/>
          <w:szCs w:val="36"/>
        </w:rPr>
      </w:pPr>
      <w:bookmarkStart w:id="181" w:name="_Toc263688612"/>
      <w:r>
        <w:rPr>
          <w:sz w:val="36"/>
          <w:szCs w:val="36"/>
        </w:rPr>
        <w:br w:type="page"/>
      </w:r>
    </w:p>
    <w:p w:rsidR="00100E3B" w:rsidRPr="00C95F78" w:rsidRDefault="00FD0A79" w:rsidP="00621010">
      <w:pPr>
        <w:pStyle w:val="Heading1"/>
        <w:numPr>
          <w:ilvl w:val="0"/>
          <w:numId w:val="1"/>
        </w:numPr>
        <w:spacing w:before="0" w:line="240" w:lineRule="auto"/>
        <w:ind w:left="0"/>
        <w:contextualSpacing/>
        <w:jc w:val="center"/>
        <w:rPr>
          <w:rFonts w:asciiTheme="minorHAnsi" w:hAnsiTheme="minorHAnsi"/>
          <w:sz w:val="36"/>
          <w:szCs w:val="36"/>
        </w:rPr>
      </w:pPr>
      <w:r w:rsidRPr="00C95F78">
        <w:rPr>
          <w:rFonts w:asciiTheme="minorHAnsi" w:hAnsiTheme="minorHAnsi"/>
          <w:sz w:val="36"/>
          <w:szCs w:val="36"/>
        </w:rPr>
        <w:t>Premise, Equipment and Other Markets</w:t>
      </w:r>
      <w:bookmarkEnd w:id="181"/>
    </w:p>
    <w:p w:rsidR="003B51B2" w:rsidRPr="00C95F78" w:rsidRDefault="003B51B2" w:rsidP="00BB1A5E">
      <w:pPr>
        <w:spacing w:after="0" w:line="240" w:lineRule="auto"/>
        <w:jc w:val="both"/>
      </w:pPr>
    </w:p>
    <w:p w:rsidR="005A48E2" w:rsidRPr="00C95F78" w:rsidRDefault="004308DA"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82" w:name="_Toc263688613"/>
      <w:r w:rsidRPr="00C95F78">
        <w:rPr>
          <w:rFonts w:asciiTheme="minorHAnsi" w:hAnsiTheme="minorHAnsi"/>
          <w:color w:val="365F91" w:themeColor="accent1" w:themeShade="BF"/>
          <w:sz w:val="30"/>
          <w:szCs w:val="30"/>
        </w:rPr>
        <w:t>Section Summary</w:t>
      </w:r>
      <w:bookmarkEnd w:id="182"/>
      <w:r w:rsidRPr="00C95F78">
        <w:rPr>
          <w:rFonts w:asciiTheme="minorHAnsi" w:hAnsiTheme="minorHAnsi"/>
          <w:color w:val="365F91" w:themeColor="accent1" w:themeShade="BF"/>
          <w:sz w:val="30"/>
          <w:szCs w:val="30"/>
        </w:rPr>
        <w:t xml:space="preserve"> </w:t>
      </w:r>
    </w:p>
    <w:p w:rsidR="005A48E2" w:rsidRPr="00C95F78" w:rsidRDefault="005A48E2" w:rsidP="00BB1A5E">
      <w:pPr>
        <w:spacing w:after="0" w:line="240" w:lineRule="auto"/>
        <w:contextualSpacing/>
        <w:jc w:val="both"/>
      </w:pPr>
    </w:p>
    <w:p w:rsidR="005A48E2" w:rsidRPr="00C95F78" w:rsidRDefault="00FD0A79" w:rsidP="00BB1A5E">
      <w:pPr>
        <w:spacing w:after="0" w:line="240" w:lineRule="auto"/>
        <w:contextualSpacing/>
        <w:jc w:val="both"/>
      </w:pPr>
      <w:r w:rsidRPr="00C95F78">
        <w:t>This section is mainly about new copper demand relating to buildings, either as part of their structure (the “Premise” market) or the equipment that goes inside the buildings (the “Equipment” market). Apart from this, there is coverage of some technologies that apply to equipment both within and outside the premises (motors and drive systems, power electronics, energy storage etc.).</w:t>
      </w:r>
    </w:p>
    <w:p w:rsidR="005A48E2" w:rsidRPr="00C95F78" w:rsidRDefault="005A48E2" w:rsidP="00BB1A5E">
      <w:pPr>
        <w:spacing w:after="0" w:line="240" w:lineRule="auto"/>
        <w:contextualSpacing/>
        <w:jc w:val="both"/>
      </w:pPr>
    </w:p>
    <w:p w:rsidR="005A48E2" w:rsidRPr="00C95F78" w:rsidRDefault="006A2FD6" w:rsidP="00BB1A5E">
      <w:pPr>
        <w:spacing w:after="0" w:line="240" w:lineRule="auto"/>
        <w:contextualSpacing/>
        <w:jc w:val="both"/>
      </w:pPr>
      <w:r w:rsidRPr="00C95F78">
        <w:t>As indicated in Section 1, the market areas covered in this Section are closely interlinked with the subject areas covered in Section 2 and Section 3. The Premise market, for instance is directly linked to Transport through the requirement for additional electrical infrastructure within the building to allow plug-in electric vehicles to be used. Looking at a wider context, changing work and logistics patterns, while they will mean less travel (or “Transport”) they will also mean that increased electrical and information functionality will be required in the building (or “Premise”).</w:t>
      </w:r>
    </w:p>
    <w:p w:rsidR="005A48E2" w:rsidRPr="00C95F78" w:rsidRDefault="005A48E2" w:rsidP="00BB1A5E">
      <w:pPr>
        <w:spacing w:after="0" w:line="240" w:lineRule="auto"/>
        <w:contextualSpacing/>
        <w:jc w:val="both"/>
      </w:pPr>
    </w:p>
    <w:p w:rsidR="005A48E2" w:rsidRPr="00C95F78" w:rsidRDefault="006A2FD6" w:rsidP="00BB1A5E">
      <w:pPr>
        <w:spacing w:after="0" w:line="240" w:lineRule="auto"/>
        <w:contextualSpacing/>
        <w:jc w:val="both"/>
      </w:pPr>
      <w:r w:rsidRPr="00C95F78">
        <w:t xml:space="preserve">The link to Section 3 is closer. </w:t>
      </w:r>
      <w:r w:rsidR="008B2196" w:rsidRPr="00C95F78">
        <w:t>Firstly, there is a direct link between the Premise and the Electricity Infrastructure through the Smart Grid, with new equipment required on both sides of the dividing line</w:t>
      </w:r>
      <w:r w:rsidR="00CE0230" w:rsidRPr="00C95F78">
        <w:t xml:space="preserve">. </w:t>
      </w:r>
      <w:r w:rsidR="008B2196" w:rsidRPr="00C95F78">
        <w:t>Secondly, c</w:t>
      </w:r>
      <w:r w:rsidRPr="00C95F78">
        <w:t>apture of electrical and heat energy at the</w:t>
      </w:r>
      <w:r w:rsidR="008B2196" w:rsidRPr="00C95F78">
        <w:t xml:space="preserve"> Premise level forms part of the overall trend towards </w:t>
      </w:r>
      <w:r w:rsidR="0074178D">
        <w:t>distributed</w:t>
      </w:r>
      <w:r w:rsidR="008B2196" w:rsidRPr="00C95F78">
        <w:t xml:space="preserve"> generation and renewable energy sourcing. Capture of these energy sources impacts directly on the wiring and heat distribution systems required in buildings. Looking again at the wider context, the requirement for more sustainable energy sourcing, at the core of both Electricity Infrastructure and Transport markets, also has direct bearing in equipment, used mainly in Premises. This includes motors and drive systems, and </w:t>
      </w:r>
      <w:r w:rsidR="00EF17E1" w:rsidRPr="00C95F78">
        <w:t>various cross product technologies, such as power electronics.</w:t>
      </w:r>
    </w:p>
    <w:p w:rsidR="005A48E2" w:rsidRPr="00C95F78" w:rsidRDefault="005A48E2" w:rsidP="00BB1A5E">
      <w:pPr>
        <w:spacing w:after="0" w:line="240" w:lineRule="auto"/>
        <w:contextualSpacing/>
        <w:jc w:val="both"/>
      </w:pPr>
    </w:p>
    <w:p w:rsidR="005A48E2" w:rsidRPr="00C95F78" w:rsidRDefault="00EF17E1"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183" w:name="_Toc263688614"/>
      <w:r w:rsidRPr="00C95F78">
        <w:rPr>
          <w:rFonts w:asciiTheme="minorHAnsi" w:hAnsiTheme="minorHAnsi"/>
          <w:color w:val="365F91" w:themeColor="accent1" w:themeShade="BF"/>
          <w:sz w:val="30"/>
          <w:szCs w:val="30"/>
        </w:rPr>
        <w:t>Premise Markets</w:t>
      </w:r>
      <w:bookmarkEnd w:id="183"/>
    </w:p>
    <w:p w:rsidR="005A48E2" w:rsidRPr="00C95F78" w:rsidRDefault="005A48E2" w:rsidP="00BB1A5E">
      <w:pPr>
        <w:spacing w:after="0" w:line="240" w:lineRule="auto"/>
        <w:contextualSpacing/>
        <w:jc w:val="both"/>
      </w:pPr>
    </w:p>
    <w:p w:rsidR="005A48E2" w:rsidRPr="00C95F78" w:rsidRDefault="005C2DB9"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84" w:name="_Toc263688615"/>
      <w:r w:rsidRPr="00C95F78">
        <w:rPr>
          <w:rFonts w:asciiTheme="minorHAnsi" w:hAnsiTheme="minorHAnsi"/>
          <w:color w:val="365F91" w:themeColor="accent1" w:themeShade="BF"/>
          <w:sz w:val="26"/>
          <w:szCs w:val="26"/>
        </w:rPr>
        <w:t>Sector Background</w:t>
      </w:r>
      <w:bookmarkEnd w:id="184"/>
    </w:p>
    <w:p w:rsidR="005A48E2" w:rsidRPr="00C95F78" w:rsidRDefault="005A48E2" w:rsidP="00BB1A5E">
      <w:pPr>
        <w:spacing w:after="0" w:line="240" w:lineRule="auto"/>
        <w:contextualSpacing/>
        <w:jc w:val="both"/>
      </w:pPr>
    </w:p>
    <w:p w:rsidR="005A48E2" w:rsidRPr="00C95F78" w:rsidRDefault="00BE15E4" w:rsidP="00BB1A5E">
      <w:pPr>
        <w:spacing w:after="0" w:line="240" w:lineRule="auto"/>
        <w:contextualSpacing/>
        <w:jc w:val="both"/>
      </w:pPr>
      <w:r w:rsidRPr="00C95F78">
        <w:t xml:space="preserve">In this analysis we look </w:t>
      </w:r>
      <w:r w:rsidR="00872AD6" w:rsidRPr="00C95F78">
        <w:t xml:space="preserve">almost </w:t>
      </w:r>
      <w:r w:rsidRPr="00C95F78">
        <w:t xml:space="preserve">exclusively at residential premises, identifying the impacts of improved energy and wiring systems and also the growth in the ageing population. </w:t>
      </w:r>
      <w:r w:rsidR="00872AD6" w:rsidRPr="00C95F78">
        <w:t xml:space="preserve">The trend towards improved energy management is also evident in industrial and commercial buildings. Here, the focus is more on efficient equipment, a subject covered in Section </w:t>
      </w:r>
      <w:r w:rsidR="003C7AEB">
        <w:fldChar w:fldCharType="begin"/>
      </w:r>
      <w:r w:rsidR="003C7AEB">
        <w:instrText xml:space="preserve"> REF _Ref262805008 \w \h  \* MERGEFORMAT </w:instrText>
      </w:r>
      <w:r w:rsidR="003C7AEB">
        <w:fldChar w:fldCharType="separate"/>
      </w:r>
      <w:r w:rsidR="0005759A">
        <w:t>4.3</w:t>
      </w:r>
      <w:r w:rsidR="003C7AEB">
        <w:fldChar w:fldCharType="end"/>
      </w:r>
      <w:r w:rsidR="00872AD6" w:rsidRPr="00C95F78">
        <w:t xml:space="preserve">: </w:t>
      </w:r>
      <w:r w:rsidR="003C7AEB">
        <w:fldChar w:fldCharType="begin"/>
      </w:r>
      <w:r w:rsidR="003C7AEB">
        <w:instrText xml:space="preserve"> REF _Ref262805008 \h  \* MERGEFORMAT </w:instrText>
      </w:r>
      <w:r w:rsidR="003C7AEB">
        <w:fldChar w:fldCharType="separate"/>
      </w:r>
      <w:r w:rsidR="0005759A" w:rsidRPr="0005759A">
        <w:t>Equipment and Cross Market Technologies</w:t>
      </w:r>
      <w:r w:rsidR="003C7AEB">
        <w:fldChar w:fldCharType="end"/>
      </w:r>
      <w:r w:rsidR="00872AD6" w:rsidRPr="00C95F78">
        <w:t>.</w:t>
      </w:r>
    </w:p>
    <w:p w:rsidR="005A48E2" w:rsidRPr="00C95F78" w:rsidRDefault="005A48E2" w:rsidP="00BB1A5E">
      <w:pPr>
        <w:spacing w:after="0" w:line="240" w:lineRule="auto"/>
        <w:contextualSpacing/>
        <w:jc w:val="both"/>
      </w:pPr>
    </w:p>
    <w:p w:rsidR="005A48E2" w:rsidRPr="00C95F78" w:rsidRDefault="00974D05" w:rsidP="00BB1A5E">
      <w:pPr>
        <w:spacing w:after="0" w:line="240" w:lineRule="auto"/>
        <w:contextualSpacing/>
        <w:jc w:val="both"/>
      </w:pPr>
      <w:r w:rsidRPr="00C95F78">
        <w:t xml:space="preserve">Looking in detail at the residential sector, </w:t>
      </w:r>
      <w:r w:rsidR="00CE0230" w:rsidRPr="00C95F78">
        <w:t xml:space="preserve">they </w:t>
      </w:r>
      <w:r w:rsidRPr="00C95F78">
        <w:t>appear to be two trends. One is towards lower net energy use. The other is towards better w</w:t>
      </w:r>
      <w:r w:rsidR="00CE0230" w:rsidRPr="00C95F78">
        <w:t>i</w:t>
      </w:r>
      <w:r w:rsidRPr="00C95F78">
        <w:t>ring systems</w:t>
      </w:r>
      <w:r w:rsidR="00061B3C" w:rsidRPr="00C95F78">
        <w:t xml:space="preserve"> and greater electrical functionality in the building</w:t>
      </w:r>
      <w:r w:rsidRPr="00C95F78">
        <w:t>. While there is some overlap between the two trends, they do not necessarily pull in the same direction.</w:t>
      </w:r>
      <w:r w:rsidR="00B07458" w:rsidRPr="00C95F78">
        <w:t xml:space="preserve"> A focus on reducing the energy required can, in theory at least, reduce the need for wiring in the building.</w:t>
      </w:r>
    </w:p>
    <w:p w:rsidR="005A48E2" w:rsidRPr="00C95F78" w:rsidRDefault="005A48E2" w:rsidP="00BB1A5E">
      <w:pPr>
        <w:spacing w:after="0" w:line="240" w:lineRule="auto"/>
        <w:contextualSpacing/>
        <w:jc w:val="both"/>
      </w:pPr>
    </w:p>
    <w:p w:rsidR="005A48E2" w:rsidRPr="008A6438" w:rsidRDefault="005C2DB9"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85" w:name="_Ref262990519"/>
      <w:bookmarkStart w:id="186" w:name="_Toc263688616"/>
      <w:r w:rsidRPr="008A6438">
        <w:rPr>
          <w:rFonts w:asciiTheme="minorHAnsi" w:hAnsiTheme="minorHAnsi"/>
          <w:color w:val="365F91" w:themeColor="accent1" w:themeShade="BF"/>
          <w:sz w:val="26"/>
          <w:szCs w:val="26"/>
        </w:rPr>
        <w:t>Alternative Technical and Market Solutions</w:t>
      </w:r>
      <w:bookmarkEnd w:id="185"/>
      <w:bookmarkEnd w:id="186"/>
    </w:p>
    <w:p w:rsidR="005A48E2" w:rsidRPr="00C95F78" w:rsidRDefault="005A48E2" w:rsidP="00BB1A5E">
      <w:pPr>
        <w:spacing w:after="0" w:line="240" w:lineRule="auto"/>
        <w:contextualSpacing/>
        <w:jc w:val="both"/>
      </w:pPr>
    </w:p>
    <w:p w:rsidR="005A48E2" w:rsidRPr="00C95F78" w:rsidRDefault="00B07458"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 xml:space="preserve">Green Technologies and </w:t>
      </w:r>
      <w:r w:rsidR="00974D05" w:rsidRPr="00C95F78">
        <w:rPr>
          <w:b/>
          <w:color w:val="365F91" w:themeColor="accent1" w:themeShade="BF"/>
          <w:sz w:val="24"/>
          <w:szCs w:val="24"/>
        </w:rPr>
        <w:t>Lower Net Energy Use</w:t>
      </w:r>
    </w:p>
    <w:p w:rsidR="005A48E2" w:rsidRPr="00C95F78" w:rsidRDefault="005A48E2" w:rsidP="00BB1A5E">
      <w:pPr>
        <w:spacing w:after="0" w:line="240" w:lineRule="auto"/>
        <w:contextualSpacing/>
        <w:jc w:val="both"/>
      </w:pPr>
    </w:p>
    <w:p w:rsidR="005A48E2" w:rsidRPr="00C95F78" w:rsidRDefault="00974D05" w:rsidP="00BB1A5E">
      <w:pPr>
        <w:spacing w:after="0" w:line="240" w:lineRule="auto"/>
        <w:contextualSpacing/>
        <w:jc w:val="both"/>
      </w:pPr>
      <w:r w:rsidRPr="00C95F78">
        <w:t>It is generally acknowledged that it is desirable for buildings to consume less energy</w:t>
      </w:r>
      <w:r w:rsidR="00A10961" w:rsidRPr="00C95F78">
        <w:t>, and in other ways to have reduced environmental impact.</w:t>
      </w:r>
      <w:r w:rsidR="00C71790" w:rsidRPr="00C95F78">
        <w:t xml:space="preserve"> There are a number of quite different ways in which the objective can be achieved, which in turn is reflected in the materials contained.</w:t>
      </w:r>
    </w:p>
    <w:p w:rsidR="005A48E2" w:rsidRPr="00C95F78" w:rsidRDefault="005A48E2" w:rsidP="00BB1A5E">
      <w:pPr>
        <w:spacing w:after="0" w:line="240" w:lineRule="auto"/>
        <w:contextualSpacing/>
        <w:jc w:val="both"/>
      </w:pPr>
    </w:p>
    <w:p w:rsidR="005A48E2" w:rsidRPr="00C95F78" w:rsidRDefault="004D11AF" w:rsidP="00BB1A5E">
      <w:pPr>
        <w:spacing w:after="0" w:line="240" w:lineRule="auto"/>
        <w:contextualSpacing/>
        <w:jc w:val="both"/>
      </w:pPr>
      <w:r w:rsidRPr="00C95F78">
        <w:t>A</w:t>
      </w:r>
      <w:r w:rsidR="00C71790" w:rsidRPr="00C95F78">
        <w:t xml:space="preserve"> concept associated with the trend is the “green building”. This is a general term used to encompass the notions that a building should use less resources (including </w:t>
      </w:r>
      <w:r w:rsidR="00BB7AF9" w:rsidRPr="00C95F78">
        <w:t>energy, water, and</w:t>
      </w:r>
      <w:r w:rsidR="00C71790" w:rsidRPr="00C95F78">
        <w:t xml:space="preserve"> building</w:t>
      </w:r>
      <w:r w:rsidR="00BB7AF9" w:rsidRPr="00C95F78">
        <w:t xml:space="preserve"> materials</w:t>
      </w:r>
      <w:r w:rsidR="00C71790" w:rsidRPr="00C95F78">
        <w:t>), while at the same time</w:t>
      </w:r>
      <w:r w:rsidR="00BB7AF9" w:rsidRPr="00C95F78">
        <w:t xml:space="preserve"> reducing building impacts on human health and the environment </w:t>
      </w:r>
      <w:r w:rsidR="00C71790" w:rsidRPr="00C95F78">
        <w:t>during the building's lifecycle (</w:t>
      </w:r>
      <w:r w:rsidR="00BB7AF9" w:rsidRPr="00C95F78">
        <w:t xml:space="preserve">through better </w:t>
      </w:r>
      <w:r w:rsidR="007921BD" w:rsidRPr="00C95F78">
        <w:t>choice of site,</w:t>
      </w:r>
      <w:r w:rsidR="00BB7AF9" w:rsidRPr="00C95F78">
        <w:t xml:space="preserve"> design, construction, operati</w:t>
      </w:r>
      <w:r w:rsidR="00C71790" w:rsidRPr="00C95F78">
        <w:t>on, maintenance, and removal). While lower resource use and possibly conserving water may impact on copper, other aspects of the green building will not.</w:t>
      </w:r>
    </w:p>
    <w:p w:rsidR="005A48E2" w:rsidRPr="00C95F78" w:rsidRDefault="005A48E2" w:rsidP="00BB1A5E">
      <w:pPr>
        <w:spacing w:after="0" w:line="240" w:lineRule="auto"/>
        <w:contextualSpacing/>
        <w:jc w:val="both"/>
      </w:pPr>
    </w:p>
    <w:p w:rsidR="008E4F58" w:rsidRPr="00C95F78" w:rsidRDefault="00C71790" w:rsidP="00BB1A5E">
      <w:pPr>
        <w:spacing w:after="0" w:line="240" w:lineRule="auto"/>
        <w:contextualSpacing/>
        <w:jc w:val="both"/>
      </w:pPr>
      <w:r w:rsidRPr="00C95F78">
        <w:t xml:space="preserve">Focussing purely on the energy saving aspect, a term in common parlance is the “low energy home”. The definition of what constitutes low energy use </w:t>
      </w:r>
      <w:r w:rsidR="008E4F58" w:rsidRPr="00C95F78">
        <w:t>varies, in part because building codes in different countries are not consistent, but a building that uses around half of the German or</w:t>
      </w:r>
      <w:r w:rsidR="00BB7AF9" w:rsidRPr="00C95F78">
        <w:t xml:space="preserve"> Swiss low-energy standards for space heating, typically in the range</w:t>
      </w:r>
      <w:r w:rsidR="008E4F58" w:rsidRPr="00C95F78">
        <w:t xml:space="preserve"> from 30 kWh/m² to 20 kWh/m² </w:t>
      </w:r>
      <w:r w:rsidR="00D67E15" w:rsidRPr="00C95F78">
        <w:t>p.a.</w:t>
      </w:r>
      <w:r w:rsidR="00651B2D" w:rsidRPr="00C95F78">
        <w:t xml:space="preserve"> </w:t>
      </w:r>
      <w:r w:rsidR="008E4F58" w:rsidRPr="00C95F78">
        <w:t>can be taken as a guideline. It is common also to define an “ultra-low energy” standard. In Germany, the “Passivhaus” has a maximum space heating and cooling requirement of 15 kWh/m²a. Estimates on the number of passive houses around the world range from 15,000 to 20,000. Most are in German-speaking countries or Scandinavia.</w:t>
      </w:r>
    </w:p>
    <w:p w:rsidR="005A48E2" w:rsidRPr="00C95F78" w:rsidRDefault="005A48E2" w:rsidP="00BB1A5E">
      <w:pPr>
        <w:spacing w:after="0" w:line="240" w:lineRule="auto"/>
        <w:contextualSpacing/>
        <w:jc w:val="both"/>
      </w:pPr>
    </w:p>
    <w:p w:rsidR="005A48E2" w:rsidRPr="00C95F78" w:rsidRDefault="00651B2D" w:rsidP="00BB1A5E">
      <w:pPr>
        <w:spacing w:after="0" w:line="240" w:lineRule="auto"/>
        <w:contextualSpacing/>
        <w:jc w:val="both"/>
      </w:pPr>
      <w:r w:rsidRPr="00C95F78">
        <w:t xml:space="preserve">To qualify as a Passivhaus, a building must achieve other criteria as well. Total energy consumption (energy for heating, hot water and electricity) must not be more than 42 kWh/m² </w:t>
      </w:r>
      <w:r w:rsidR="000E7799" w:rsidRPr="00C95F78">
        <w:t>p.a.</w:t>
      </w:r>
      <w:r w:rsidRPr="00C95F78">
        <w:t>, and total primary energy consumption, including electricity generation, must not be more than 120 kWh/m² p</w:t>
      </w:r>
      <w:r w:rsidR="00967AF1">
        <w:t>.a</w:t>
      </w:r>
      <w:r w:rsidRPr="00C95F78">
        <w:t>. These are very stiff criteria, and to reach such a standard implies a major departure from normal building design and operating systems within the building.</w:t>
      </w:r>
    </w:p>
    <w:p w:rsidR="005A48E2" w:rsidRPr="00C95F78" w:rsidRDefault="005A48E2" w:rsidP="00BB1A5E">
      <w:pPr>
        <w:spacing w:after="0" w:line="240" w:lineRule="auto"/>
        <w:contextualSpacing/>
        <w:jc w:val="both"/>
      </w:pPr>
    </w:p>
    <w:p w:rsidR="005A48E2" w:rsidRPr="00C95F78" w:rsidRDefault="00651B2D" w:rsidP="00BB1A5E">
      <w:pPr>
        <w:spacing w:after="0" w:line="240" w:lineRule="auto"/>
        <w:contextualSpacing/>
        <w:jc w:val="both"/>
      </w:pPr>
      <w:r w:rsidRPr="00C95F78">
        <w:t xml:space="preserve">An alternative approach, and one which may not require such radical design departure, is to focus on net energy use rather than total energy use, making up for the energy consumed by self generation of electricity and capture of heat resources. </w:t>
      </w:r>
      <w:r w:rsidR="00915303" w:rsidRPr="00C95F78">
        <w:t xml:space="preserve">Another green building type, the “Zero Energy Building” (ZEB) will necessarily involve some degree of </w:t>
      </w:r>
      <w:r w:rsidR="00536F1E" w:rsidRPr="00C95F78">
        <w:t xml:space="preserve">self generation. At one extreme, a ZEB may be constructed much like a Passivhaus, with a small amount of self generation added. </w:t>
      </w:r>
      <w:r w:rsidR="00CE0230" w:rsidRPr="00C95F78">
        <w:t xml:space="preserve">At </w:t>
      </w:r>
      <w:r w:rsidR="00536F1E" w:rsidRPr="00C95F78">
        <w:t>the other, a ZEB may be a conventional building using exactly the same amount of energy as any other, but compensates for this by a large amount of self generation.</w:t>
      </w:r>
    </w:p>
    <w:p w:rsidR="005A48E2" w:rsidRPr="00C95F78" w:rsidRDefault="005A48E2" w:rsidP="00BB1A5E">
      <w:pPr>
        <w:spacing w:after="0" w:line="240" w:lineRule="auto"/>
        <w:contextualSpacing/>
        <w:jc w:val="both"/>
      </w:pPr>
    </w:p>
    <w:p w:rsidR="005A48E2" w:rsidRPr="00C95F78" w:rsidRDefault="00536F1E" w:rsidP="00BB1A5E">
      <w:pPr>
        <w:spacing w:after="0" w:line="240" w:lineRule="auto"/>
        <w:contextualSpacing/>
        <w:jc w:val="both"/>
      </w:pPr>
      <w:r w:rsidRPr="00C95F78">
        <w:t>It can be seen that the concept of “green” can have very different manifestations when it comes to building design and content. Features that can go to make up the green building are discussed below.</w:t>
      </w:r>
    </w:p>
    <w:p w:rsidR="005A48E2" w:rsidRPr="00C95F78" w:rsidRDefault="005A48E2" w:rsidP="00BB1A5E">
      <w:pPr>
        <w:spacing w:after="0" w:line="240" w:lineRule="auto"/>
        <w:contextualSpacing/>
        <w:jc w:val="both"/>
      </w:pPr>
    </w:p>
    <w:p w:rsidR="005A48E2" w:rsidRPr="00C95F78" w:rsidRDefault="00061B3C" w:rsidP="00621010">
      <w:pPr>
        <w:pStyle w:val="Caption"/>
        <w:contextualSpacing/>
        <w:jc w:val="center"/>
        <w:rPr>
          <w:sz w:val="28"/>
          <w:szCs w:val="28"/>
        </w:rPr>
      </w:pPr>
      <w:bookmarkStart w:id="187" w:name="_Toc26367174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94</w:t>
      </w:r>
      <w:r w:rsidR="00D50FDC" w:rsidRPr="00C95F78">
        <w:rPr>
          <w:sz w:val="28"/>
          <w:szCs w:val="28"/>
        </w:rPr>
        <w:fldChar w:fldCharType="end"/>
      </w:r>
      <w:r w:rsidRPr="00C95F78">
        <w:rPr>
          <w:sz w:val="28"/>
          <w:szCs w:val="28"/>
        </w:rPr>
        <w:t>: Diagram of a Passivhaus</w:t>
      </w:r>
      <w:bookmarkEnd w:id="187"/>
    </w:p>
    <w:p w:rsidR="005A48E2" w:rsidRPr="00C95F78" w:rsidRDefault="002D37F2" w:rsidP="00BB1A5E">
      <w:pPr>
        <w:spacing w:after="0" w:line="240" w:lineRule="auto"/>
        <w:ind w:left="1814"/>
        <w:contextualSpacing/>
        <w:jc w:val="both"/>
      </w:pPr>
      <w:r w:rsidRPr="00C95F78">
        <w:rPr>
          <w:noProof/>
          <w:lang w:val="en-US"/>
        </w:rPr>
        <w:drawing>
          <wp:inline distT="0" distB="0" distL="0" distR="0">
            <wp:extent cx="3780000" cy="2959200"/>
            <wp:effectExtent l="19050" t="0" r="0" b="0"/>
            <wp:docPr id="104" name="Picture 1" descr="http://upload.wikimedia.org/wikipedia/commons/thumb/b/bd/Passivhaus_section_en.jpg/350px-Passivhaus_section_en.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d/Passivhaus_section_en.jpg/350px-Passivhaus_section_en.jpg">
                      <a:hlinkClick r:id="rId146"/>
                    </pic:cNvPr>
                    <pic:cNvPicPr>
                      <a:picLocks noChangeAspect="1" noChangeArrowheads="1"/>
                    </pic:cNvPicPr>
                  </pic:nvPicPr>
                  <pic:blipFill>
                    <a:blip r:embed="rId147" cstate="print"/>
                    <a:srcRect/>
                    <a:stretch>
                      <a:fillRect/>
                    </a:stretch>
                  </pic:blipFill>
                  <pic:spPr bwMode="auto">
                    <a:xfrm>
                      <a:off x="0" y="0"/>
                      <a:ext cx="3780000" cy="2959200"/>
                    </a:xfrm>
                    <a:prstGeom prst="rect">
                      <a:avLst/>
                    </a:prstGeom>
                    <a:noFill/>
                    <a:ln w="9525">
                      <a:noFill/>
                      <a:miter lim="800000"/>
                      <a:headEnd/>
                      <a:tailEnd/>
                    </a:ln>
                  </pic:spPr>
                </pic:pic>
              </a:graphicData>
            </a:graphic>
          </wp:inline>
        </w:drawing>
      </w:r>
    </w:p>
    <w:p w:rsidR="005A48E2" w:rsidRPr="00C95F78" w:rsidRDefault="00061B3C" w:rsidP="00BB1A5E">
      <w:pPr>
        <w:spacing w:after="0" w:line="240" w:lineRule="auto"/>
        <w:contextualSpacing/>
        <w:jc w:val="both"/>
      </w:pPr>
      <w:r w:rsidRPr="00C95F78">
        <w:rPr>
          <w:b/>
        </w:rPr>
        <w:t>Passive Solar Design</w:t>
      </w:r>
      <w:r w:rsidRPr="00C95F78">
        <w:t>: Using south-facing aspect (in the northern hemisphere) and internal thermal mass in building materials can be used to achieve a net solar gain, while also reducing peak summer temperatures and raising low winter temperatures.</w:t>
      </w:r>
    </w:p>
    <w:p w:rsidR="005A48E2" w:rsidRPr="00C95F78" w:rsidRDefault="005A48E2" w:rsidP="00BB1A5E">
      <w:pPr>
        <w:spacing w:after="0" w:line="240" w:lineRule="auto"/>
        <w:contextualSpacing/>
        <w:jc w:val="both"/>
        <w:rPr>
          <w:b/>
        </w:rPr>
      </w:pPr>
    </w:p>
    <w:p w:rsidR="005A48E2" w:rsidRPr="00C95F78" w:rsidRDefault="00835167" w:rsidP="00BB1A5E">
      <w:pPr>
        <w:spacing w:after="0" w:line="240" w:lineRule="auto"/>
        <w:contextualSpacing/>
        <w:jc w:val="both"/>
      </w:pPr>
      <w:r w:rsidRPr="00C95F78">
        <w:rPr>
          <w:b/>
        </w:rPr>
        <w:t>Super-insulation, Advanced Window Technology and Air</w:t>
      </w:r>
      <w:r w:rsidR="00790875" w:rsidRPr="00C95F78">
        <w:rPr>
          <w:b/>
        </w:rPr>
        <w:t xml:space="preserve"> T</w:t>
      </w:r>
      <w:r w:rsidRPr="00C95F78">
        <w:rPr>
          <w:b/>
        </w:rPr>
        <w:t xml:space="preserve">ightness: </w:t>
      </w:r>
      <w:r w:rsidRPr="00C95F78">
        <w:t>Thick layers of insulating materials in walls can be used to greatly reduce heat loss and achieve temperature stability. Advanced window technology and air</w:t>
      </w:r>
      <w:r w:rsidR="00790875" w:rsidRPr="00C95F78">
        <w:t xml:space="preserve"> </w:t>
      </w:r>
      <w:r w:rsidRPr="00C95F78">
        <w:t>tightness can be used to the same end.</w:t>
      </w:r>
    </w:p>
    <w:p w:rsidR="005A48E2" w:rsidRPr="00C95F78" w:rsidRDefault="005A48E2" w:rsidP="00BB1A5E">
      <w:pPr>
        <w:spacing w:after="0" w:line="240" w:lineRule="auto"/>
        <w:contextualSpacing/>
        <w:jc w:val="both"/>
      </w:pPr>
    </w:p>
    <w:p w:rsidR="005A48E2" w:rsidRPr="00C95F78" w:rsidRDefault="00835167" w:rsidP="00BB1A5E">
      <w:pPr>
        <w:spacing w:after="0" w:line="240" w:lineRule="auto"/>
        <w:contextualSpacing/>
        <w:jc w:val="both"/>
      </w:pPr>
      <w:r w:rsidRPr="00C95F78">
        <w:rPr>
          <w:b/>
        </w:rPr>
        <w:t xml:space="preserve">Ventilation: </w:t>
      </w:r>
      <w:r w:rsidRPr="00C95F78">
        <w:t>Mechanical heat recovery ventilation systems</w:t>
      </w:r>
      <w:r w:rsidR="00CB058D" w:rsidRPr="00C95F78">
        <w:t xml:space="preserve"> can be</w:t>
      </w:r>
      <w:r w:rsidRPr="00C95F78">
        <w:t xml:space="preserve"> employed to maintain air quality, and to recover sufficient heat to dispense with a conventional central heating </w:t>
      </w:r>
      <w:r w:rsidR="00CB058D" w:rsidRPr="00C95F78">
        <w:t xml:space="preserve">or air conditioning </w:t>
      </w:r>
      <w:r w:rsidRPr="00C95F78">
        <w:t>system</w:t>
      </w:r>
      <w:r w:rsidR="00CB058D" w:rsidRPr="00C95F78">
        <w:t xml:space="preserve">s, if a building is sufficiently airtight. </w:t>
      </w:r>
    </w:p>
    <w:p w:rsidR="005A48E2" w:rsidRPr="00C95F78" w:rsidRDefault="005A48E2" w:rsidP="00BB1A5E">
      <w:pPr>
        <w:spacing w:after="0" w:line="240" w:lineRule="auto"/>
        <w:contextualSpacing/>
        <w:jc w:val="both"/>
      </w:pPr>
    </w:p>
    <w:p w:rsidR="005A48E2" w:rsidRPr="00C95F78" w:rsidRDefault="00CB058D" w:rsidP="00BB1A5E">
      <w:pPr>
        <w:spacing w:after="0" w:line="240" w:lineRule="auto"/>
        <w:contextualSpacing/>
        <w:jc w:val="both"/>
      </w:pPr>
      <w:r w:rsidRPr="00C95F78">
        <w:rPr>
          <w:b/>
        </w:rPr>
        <w:t>Geothermal Heat</w:t>
      </w:r>
      <w:r w:rsidR="00A4481C" w:rsidRPr="00C95F78">
        <w:rPr>
          <w:b/>
        </w:rPr>
        <w:t>ing</w:t>
      </w:r>
      <w:r w:rsidRPr="00C95F78">
        <w:rPr>
          <w:b/>
        </w:rPr>
        <w:t xml:space="preserve"> and Cooling: </w:t>
      </w:r>
      <w:r w:rsidRPr="00C95F78">
        <w:t>Ventilation systems can be used in association with geothermal</w:t>
      </w:r>
      <w:r w:rsidR="00835167" w:rsidRPr="00C95F78">
        <w:t xml:space="preserve"> earth warming tubes</w:t>
      </w:r>
      <w:r w:rsidRPr="00C95F78">
        <w:t>, acting as</w:t>
      </w:r>
      <w:r w:rsidR="00835167" w:rsidRPr="00C95F78">
        <w:t xml:space="preserve"> earth-to-air heat exchangers</w:t>
      </w:r>
      <w:r w:rsidR="00790875" w:rsidRPr="00C95F78">
        <w:t xml:space="preserve">. Geothermal systems </w:t>
      </w:r>
      <w:r w:rsidR="00790875" w:rsidRPr="00C95F78">
        <w:rPr>
          <w:rFonts w:eastAsia="Calibri" w:cs="Times New Roman"/>
          <w:szCs w:val="20"/>
        </w:rPr>
        <w:t>use the relatively constant temperature of the ground as a heat source for buildings when too cool, and also as a heat sink to take heat away from buildings</w:t>
      </w:r>
      <w:r w:rsidR="00061B3C" w:rsidRPr="00C95F78">
        <w:rPr>
          <w:rFonts w:eastAsia="Calibri" w:cs="Times New Roman"/>
          <w:szCs w:val="20"/>
        </w:rPr>
        <w:t xml:space="preserve"> when too hot</w:t>
      </w:r>
      <w:r w:rsidR="00790875" w:rsidRPr="00C95F78">
        <w:rPr>
          <w:rFonts w:eastAsia="Calibri" w:cs="Times New Roman"/>
          <w:szCs w:val="20"/>
        </w:rPr>
        <w:t>.</w:t>
      </w:r>
    </w:p>
    <w:p w:rsidR="005A48E2" w:rsidRPr="00C95F78" w:rsidRDefault="005A48E2" w:rsidP="00BB1A5E">
      <w:pPr>
        <w:spacing w:after="0" w:line="240" w:lineRule="auto"/>
        <w:contextualSpacing/>
        <w:jc w:val="both"/>
      </w:pPr>
    </w:p>
    <w:p w:rsidR="005A48E2" w:rsidRPr="00C95F78" w:rsidRDefault="002D37F2" w:rsidP="00BB1A5E">
      <w:pPr>
        <w:spacing w:after="0" w:line="240" w:lineRule="auto"/>
        <w:contextualSpacing/>
        <w:jc w:val="both"/>
      </w:pPr>
      <w:r w:rsidRPr="00C95F78">
        <w:rPr>
          <w:b/>
        </w:rPr>
        <w:t xml:space="preserve">Space Heating: </w:t>
      </w:r>
      <w:r w:rsidRPr="00C95F78">
        <w:t xml:space="preserve">Energy efficient design can make the need for conventional hydronic or high volume forced air heating systems unnecessary, or at least greatly reduce the scale of such systems. Instead, the limited heating required can be achieved with low-volume heat recovery ventilation system that is required to maintain air quality. Heat can be captured from ground sources (geothermal heat) or </w:t>
      </w:r>
      <w:r w:rsidR="00054E07" w:rsidRPr="00C95F78">
        <w:t xml:space="preserve">channelled </w:t>
      </w:r>
      <w:r w:rsidRPr="00C95F78">
        <w:t>from waste heat in lighting, major appliances and other electrical devices, and from human bodies</w:t>
      </w:r>
      <w:r w:rsidR="00054E07" w:rsidRPr="00C95F78">
        <w:t xml:space="preserve"> to achieve space or water heating.</w:t>
      </w:r>
      <w:r w:rsidR="00F9547D" w:rsidRPr="00C95F78">
        <w:t xml:space="preserve"> </w:t>
      </w:r>
      <w:r w:rsidR="00054E07" w:rsidRPr="00C95F78">
        <w:t>For example, refrigerator exhaust can be channelled to heat domestic hot water, ventilation air and shower drain heat exchangers.</w:t>
      </w:r>
    </w:p>
    <w:p w:rsidR="005A48E2" w:rsidRPr="00C95F78" w:rsidRDefault="005A48E2" w:rsidP="00BB1A5E">
      <w:pPr>
        <w:spacing w:after="0" w:line="240" w:lineRule="auto"/>
        <w:contextualSpacing/>
        <w:jc w:val="both"/>
      </w:pPr>
    </w:p>
    <w:p w:rsidR="005A48E2" w:rsidRPr="00C95F78" w:rsidRDefault="00054E07" w:rsidP="00BB1A5E">
      <w:pPr>
        <w:spacing w:after="0" w:line="240" w:lineRule="auto"/>
        <w:contextualSpacing/>
        <w:jc w:val="both"/>
      </w:pPr>
      <w:r w:rsidRPr="00C95F78">
        <w:rPr>
          <w:b/>
        </w:rPr>
        <w:t xml:space="preserve">Water Heating and Conservation: </w:t>
      </w:r>
      <w:r w:rsidRPr="00C95F78">
        <w:t xml:space="preserve">Rather than being used in association with ventilation systems for space heating, waste heat can be used to heat water. </w:t>
      </w:r>
      <w:r w:rsidR="000E7032" w:rsidRPr="00C95F78">
        <w:t xml:space="preserve">Water heating loads </w:t>
      </w:r>
      <w:r w:rsidRPr="00C95F78">
        <w:t xml:space="preserve">also </w:t>
      </w:r>
      <w:r w:rsidR="000E7032" w:rsidRPr="00C95F78">
        <w:t xml:space="preserve">can be lowered </w:t>
      </w:r>
      <w:r w:rsidRPr="00C95F78">
        <w:t xml:space="preserve">by </w:t>
      </w:r>
      <w:r w:rsidR="000E7032" w:rsidRPr="00C95F78">
        <w:t xml:space="preserve">using water conservation fixtures, heat recovery units on waste water, and by using solar water heating, and high-efficiency water heating equipment. </w:t>
      </w:r>
      <w:r w:rsidR="00061B3C" w:rsidRPr="00C95F78">
        <w:rPr>
          <w:rFonts w:eastAsia="Calibri" w:cs="Times New Roman"/>
          <w:szCs w:val="20"/>
        </w:rPr>
        <w:t>Regarding water conservation, rainwater or “grey water” (e.g. bath water) can be used to provide toilet flushing and irrigation.</w:t>
      </w:r>
    </w:p>
    <w:p w:rsidR="005A48E2" w:rsidRPr="00C95F78" w:rsidRDefault="005A48E2" w:rsidP="00BB1A5E">
      <w:pPr>
        <w:spacing w:after="0" w:line="240" w:lineRule="auto"/>
        <w:contextualSpacing/>
        <w:jc w:val="both"/>
      </w:pPr>
    </w:p>
    <w:p w:rsidR="005A48E2" w:rsidRPr="00C95F78" w:rsidRDefault="0077683E" w:rsidP="00BB1A5E">
      <w:pPr>
        <w:spacing w:after="0" w:line="240" w:lineRule="auto"/>
        <w:contextualSpacing/>
        <w:jc w:val="both"/>
      </w:pPr>
      <w:r w:rsidRPr="00C95F78">
        <w:rPr>
          <w:b/>
        </w:rPr>
        <w:t xml:space="preserve">On Site Electricity Generation: </w:t>
      </w:r>
      <w:r w:rsidRPr="00C95F78">
        <w:t xml:space="preserve">The use of geothermal and solar sources for space and water heating respectively </w:t>
      </w:r>
      <w:r w:rsidR="00CE0230" w:rsidRPr="00C95F78">
        <w:t xml:space="preserve">has </w:t>
      </w:r>
      <w:r w:rsidRPr="00C95F78">
        <w:t xml:space="preserve">been mentioned above. In addition, micro </w:t>
      </w:r>
      <w:r w:rsidR="0074178D">
        <w:t>distributed</w:t>
      </w:r>
      <w:r w:rsidRPr="00C95F78">
        <w:t xml:space="preserve"> electricity generation can be used. Depending on the resource available, this may be solar concentrating, </w:t>
      </w:r>
      <w:r w:rsidR="00CE0230" w:rsidRPr="00C95F78">
        <w:t xml:space="preserve">solar </w:t>
      </w:r>
      <w:r w:rsidRPr="00C95F78">
        <w:t xml:space="preserve">photovoltaic (PV), wind, hydro or biomass power. While such energy resources can be used for single buildings, and often is in the case of solar PV, it is often more economic to a number of residential buildings to have a combined source of local electricity generation. </w:t>
      </w:r>
    </w:p>
    <w:p w:rsidR="005A48E2" w:rsidRPr="00C95F78" w:rsidRDefault="005A48E2" w:rsidP="00BB1A5E">
      <w:pPr>
        <w:spacing w:after="0" w:line="240" w:lineRule="auto"/>
        <w:contextualSpacing/>
        <w:jc w:val="both"/>
      </w:pPr>
    </w:p>
    <w:p w:rsidR="005A48E2" w:rsidRPr="00C95F78" w:rsidRDefault="0048135C" w:rsidP="00BB1A5E">
      <w:pPr>
        <w:spacing w:after="0" w:line="240" w:lineRule="auto"/>
        <w:contextualSpacing/>
        <w:jc w:val="both"/>
      </w:pPr>
      <w:r w:rsidRPr="00C95F78">
        <w:t>At the community scale</w:t>
      </w:r>
      <w:r w:rsidR="0077683E" w:rsidRPr="00C95F78">
        <w:t xml:space="preserve">, it is possible to create small Combined Heat and Power (CHP) schemes. By using such resources, we are now seeing </w:t>
      </w:r>
      <w:r w:rsidR="00E7292A" w:rsidRPr="00C95F78">
        <w:t xml:space="preserve">that </w:t>
      </w:r>
      <w:r w:rsidR="0077683E" w:rsidRPr="00C95F78">
        <w:t>some development of z</w:t>
      </w:r>
      <w:r w:rsidR="000E7032" w:rsidRPr="00C95F78">
        <w:t>ero-energy neighbo</w:t>
      </w:r>
      <w:r w:rsidR="0077683E" w:rsidRPr="00C95F78">
        <w:t>u</w:t>
      </w:r>
      <w:r w:rsidR="000E7032" w:rsidRPr="00C95F78">
        <w:t xml:space="preserve">rhoods, such as the BedZED development in the United Kingdom, and </w:t>
      </w:r>
      <w:r w:rsidR="0077683E" w:rsidRPr="00C95F78">
        <w:t xml:space="preserve">others </w:t>
      </w:r>
      <w:r w:rsidR="000E7032" w:rsidRPr="00C95F78">
        <w:t xml:space="preserve">spreading </w:t>
      </w:r>
      <w:r w:rsidR="0077683E" w:rsidRPr="00C95F78">
        <w:t>rapidly in California and China</w:t>
      </w:r>
      <w:r w:rsidR="000E7032" w:rsidRPr="00C95F78">
        <w:t xml:space="preserve"> may use distributed generation schemes. There are current plans to use ZEB technologies to build entire off-the-grid or net zero energy use cities, such as the planned Dongtan Eco-City near Shan</w:t>
      </w:r>
      <w:r w:rsidRPr="00C95F78">
        <w:t>ghai or Masdar City in Abu Dhabi</w:t>
      </w:r>
      <w:r w:rsidR="000E7032" w:rsidRPr="00C95F78">
        <w:t>.</w:t>
      </w:r>
    </w:p>
    <w:p w:rsidR="005A48E2" w:rsidRPr="00C95F78" w:rsidRDefault="005A48E2" w:rsidP="00BB1A5E">
      <w:pPr>
        <w:spacing w:after="0" w:line="240" w:lineRule="auto"/>
        <w:contextualSpacing/>
        <w:jc w:val="both"/>
      </w:pPr>
    </w:p>
    <w:p w:rsidR="005A48E2" w:rsidRPr="00C95F78" w:rsidRDefault="0048135C" w:rsidP="00BB1A5E">
      <w:pPr>
        <w:spacing w:line="240" w:lineRule="auto"/>
        <w:contextualSpacing/>
        <w:jc w:val="both"/>
        <w:rPr>
          <w:rFonts w:eastAsia="Calibri" w:cs="Times New Roman"/>
          <w:szCs w:val="20"/>
        </w:rPr>
      </w:pPr>
      <w:r w:rsidRPr="00C95F78">
        <w:rPr>
          <w:b/>
        </w:rPr>
        <w:t xml:space="preserve">Metering and Electricity Use Management: </w:t>
      </w:r>
      <w:r w:rsidR="00357D9E" w:rsidRPr="00C95F78">
        <w:t>Low</w:t>
      </w:r>
      <w:r w:rsidR="00357D9E" w:rsidRPr="00C95F78">
        <w:rPr>
          <w:rFonts w:eastAsia="Calibri" w:cs="Times New Roman"/>
          <w:szCs w:val="20"/>
        </w:rPr>
        <w:t xml:space="preserve"> net energy use c</w:t>
      </w:r>
      <w:r w:rsidR="006A065D" w:rsidRPr="00C95F78">
        <w:rPr>
          <w:rFonts w:eastAsia="Calibri" w:cs="Times New Roman"/>
          <w:szCs w:val="20"/>
        </w:rPr>
        <w:t>an also be achieved by managing e</w:t>
      </w:r>
      <w:r w:rsidR="00357D9E" w:rsidRPr="00C95F78">
        <w:rPr>
          <w:rFonts w:eastAsia="Calibri" w:cs="Times New Roman"/>
          <w:szCs w:val="20"/>
        </w:rPr>
        <w:t xml:space="preserve">lectricity use. </w:t>
      </w:r>
      <w:r w:rsidR="00A4481C" w:rsidRPr="00C95F78">
        <w:rPr>
          <w:rFonts w:eastAsia="Calibri" w:cs="Times New Roman"/>
          <w:szCs w:val="20"/>
        </w:rPr>
        <w:t>This can be done by using electricity only when it is needed. To achieve, having accurate information on energy use is essential. This information can be used either manually or electronically alongside other data to decide which appliances need to be switched on and at what loading. Smart meters, now being introduced as part of the “Smart Grid”, will form an integral part of this process. Time-of-day billing will also apply, with the intention of achieving more efficient electricity use throughout the grid by peak shaving, as well as in the individual premise.</w:t>
      </w:r>
    </w:p>
    <w:p w:rsidR="005A48E2" w:rsidRPr="00C95F78" w:rsidRDefault="00A4481C" w:rsidP="00BB1A5E">
      <w:pPr>
        <w:spacing w:line="240" w:lineRule="auto"/>
        <w:contextualSpacing/>
        <w:jc w:val="both"/>
        <w:rPr>
          <w:rFonts w:eastAsia="Calibri" w:cs="Times New Roman"/>
          <w:szCs w:val="20"/>
        </w:rPr>
      </w:pPr>
      <w:r w:rsidRPr="00C95F78">
        <w:rPr>
          <w:rFonts w:eastAsia="Calibri" w:cs="Times New Roman"/>
          <w:b/>
          <w:szCs w:val="20"/>
        </w:rPr>
        <w:t xml:space="preserve">Energy Efficient and Smart Appliances: </w:t>
      </w:r>
      <w:r w:rsidR="00790875" w:rsidRPr="00C95F78">
        <w:rPr>
          <w:rFonts w:eastAsia="Calibri" w:cs="Times New Roman"/>
          <w:szCs w:val="20"/>
        </w:rPr>
        <w:t>Less electricity is used by energy efficient appliances than more conventional ones. Clearly, focus on the powered equipment is just as important on the buildings and systems in which they are used.</w:t>
      </w:r>
    </w:p>
    <w:p w:rsidR="005A48E2" w:rsidRPr="00C95F78" w:rsidRDefault="005A48E2" w:rsidP="00BB1A5E">
      <w:pPr>
        <w:spacing w:line="240" w:lineRule="auto"/>
        <w:contextualSpacing/>
        <w:jc w:val="both"/>
        <w:rPr>
          <w:rFonts w:eastAsia="Calibri" w:cs="Times New Roman"/>
          <w:szCs w:val="20"/>
        </w:rPr>
      </w:pPr>
    </w:p>
    <w:p w:rsidR="005A48E2" w:rsidRPr="00C95F78" w:rsidRDefault="00B07458" w:rsidP="00BB1A5E">
      <w:pPr>
        <w:spacing w:line="240" w:lineRule="auto"/>
        <w:contextualSpacing/>
        <w:jc w:val="both"/>
        <w:rPr>
          <w:rFonts w:eastAsia="Calibri" w:cs="Times New Roman"/>
          <w:szCs w:val="20"/>
        </w:rPr>
      </w:pPr>
      <w:r w:rsidRPr="00C95F78">
        <w:rPr>
          <w:rFonts w:eastAsia="Calibri" w:cs="Times New Roman"/>
          <w:b/>
          <w:szCs w:val="20"/>
        </w:rPr>
        <w:t xml:space="preserve">Environmentally Friendly Cabling: </w:t>
      </w:r>
      <w:r w:rsidR="000C54BC" w:rsidRPr="00C95F78">
        <w:rPr>
          <w:rFonts w:eastAsia="Calibri" w:cs="Times New Roman"/>
          <w:szCs w:val="20"/>
        </w:rPr>
        <w:t xml:space="preserve">A key tenet of the “green” movement is that materials used should have a minimal impact on the environment, both in their physical content and the manufacturing process by which they are made. </w:t>
      </w:r>
      <w:r w:rsidR="000C54BC" w:rsidRPr="00C95F78">
        <w:rPr>
          <w:rFonts w:eastAsia="Calibri" w:cs="Times New Roman"/>
          <w:b/>
          <w:szCs w:val="20"/>
        </w:rPr>
        <w:t>“Green cables”</w:t>
      </w:r>
      <w:r w:rsidR="000C54BC" w:rsidRPr="00C95F78">
        <w:rPr>
          <w:rFonts w:eastAsia="Calibri" w:cs="Times New Roman"/>
          <w:szCs w:val="20"/>
        </w:rPr>
        <w:t xml:space="preserve"> are available with insulating materials and process technology to achieve this end</w:t>
      </w:r>
      <w:r w:rsidR="004C792A" w:rsidRPr="00C95F78">
        <w:rPr>
          <w:rFonts w:eastAsia="Calibri" w:cs="Times New Roman"/>
          <w:szCs w:val="20"/>
        </w:rPr>
        <w:t>.</w:t>
      </w:r>
    </w:p>
    <w:p w:rsidR="005A48E2" w:rsidRPr="00C95F78" w:rsidRDefault="005A48E2" w:rsidP="00BB1A5E">
      <w:pPr>
        <w:spacing w:line="240" w:lineRule="auto"/>
        <w:contextualSpacing/>
        <w:jc w:val="both"/>
        <w:rPr>
          <w:rFonts w:eastAsia="Calibri" w:cs="Times New Roman"/>
          <w:szCs w:val="20"/>
        </w:rPr>
      </w:pPr>
    </w:p>
    <w:p w:rsidR="005A48E2" w:rsidRPr="00C95F78" w:rsidRDefault="004C792A" w:rsidP="00BB1A5E">
      <w:pPr>
        <w:spacing w:line="240" w:lineRule="auto"/>
        <w:contextualSpacing/>
        <w:jc w:val="both"/>
        <w:rPr>
          <w:rFonts w:eastAsia="Calibri" w:cs="Times New Roman"/>
          <w:szCs w:val="20"/>
        </w:rPr>
      </w:pPr>
      <w:r w:rsidRPr="00C95F78">
        <w:rPr>
          <w:rFonts w:eastAsia="Calibri" w:cs="Times New Roman"/>
          <w:szCs w:val="20"/>
        </w:rPr>
        <w:t xml:space="preserve">Despite the short distances electricity travels in a building, there is some electrical loss during the course of transit. This can be minimised by upsizing conductors, for instance replacing 1.5 </w:t>
      </w:r>
      <w:r w:rsidR="005643F9">
        <w:rPr>
          <w:rFonts w:eastAsia="Calibri" w:cs="Times New Roman"/>
          <w:szCs w:val="20"/>
        </w:rPr>
        <w:t>m</w:t>
      </w:r>
      <w:r w:rsidR="005643F9" w:rsidRPr="005643F9">
        <w:rPr>
          <w:rFonts w:eastAsia="Calibri" w:cs="Times New Roman"/>
          <w:szCs w:val="20"/>
          <w:vertAlign w:val="superscript"/>
        </w:rPr>
        <w:t>2</w:t>
      </w:r>
      <w:r w:rsidRPr="00C95F78">
        <w:rPr>
          <w:rFonts w:eastAsia="Calibri" w:cs="Times New Roman"/>
          <w:szCs w:val="20"/>
        </w:rPr>
        <w:t xml:space="preserve"> lighting circuits with 2.5 </w:t>
      </w:r>
      <w:r w:rsidR="005643F9">
        <w:rPr>
          <w:rFonts w:eastAsia="Calibri" w:cs="Times New Roman"/>
          <w:szCs w:val="20"/>
        </w:rPr>
        <w:t>m</w:t>
      </w:r>
      <w:r w:rsidR="005643F9" w:rsidRPr="005643F9">
        <w:rPr>
          <w:rFonts w:eastAsia="Calibri" w:cs="Times New Roman"/>
          <w:szCs w:val="20"/>
          <w:vertAlign w:val="superscript"/>
        </w:rPr>
        <w:t>2</w:t>
      </w:r>
      <w:r w:rsidRPr="00C95F78">
        <w:rPr>
          <w:rFonts w:eastAsia="Calibri" w:cs="Times New Roman"/>
          <w:szCs w:val="20"/>
        </w:rPr>
        <w:t>. wiring.</w:t>
      </w:r>
      <w:r w:rsidR="00ED2536" w:rsidRPr="00C95F78">
        <w:rPr>
          <w:rFonts w:eastAsia="Calibri" w:cs="Times New Roman"/>
          <w:szCs w:val="20"/>
        </w:rPr>
        <w:t xml:space="preserve"> Taking this a step further, </w:t>
      </w:r>
      <w:r w:rsidR="00CB1678" w:rsidRPr="00C95F78">
        <w:rPr>
          <w:rFonts w:eastAsia="Calibri" w:cs="Times New Roman"/>
          <w:szCs w:val="20"/>
        </w:rPr>
        <w:t xml:space="preserve">some development of </w:t>
      </w:r>
      <w:r w:rsidR="00CB1678" w:rsidRPr="00C95F78">
        <w:rPr>
          <w:rFonts w:eastAsia="Calibri" w:cs="Times New Roman"/>
          <w:b/>
          <w:szCs w:val="20"/>
        </w:rPr>
        <w:t>“ecological cable sizing”</w:t>
      </w:r>
      <w:r w:rsidR="00CB1678" w:rsidRPr="00C95F78">
        <w:rPr>
          <w:rFonts w:eastAsia="Calibri" w:cs="Times New Roman"/>
          <w:szCs w:val="20"/>
        </w:rPr>
        <w:t xml:space="preserve"> is underway for commercial buildings. This requires a precise audit of environmental impact of cables in their material use and lifetime energy loss. Upsized conductors will mean reduced losses, but are more environmentally costly to make, considering both material use and manufacturing process. Ecological cable sizing is achieved by upsizing conductors to the point where ecological benefits cease to outweigh ecological damage. Research by Kitgoni shows that a gain in copper use of 45-200% in the wiring of a commercial building would be achieved by ecological wiring</w:t>
      </w:r>
      <w:r w:rsidR="00C014CB" w:rsidRPr="00C95F78">
        <w:rPr>
          <w:rStyle w:val="FootnoteReference"/>
          <w:rFonts w:eastAsia="Calibri" w:cs="Times New Roman"/>
          <w:szCs w:val="20"/>
        </w:rPr>
        <w:footnoteReference w:id="31"/>
      </w:r>
      <w:r w:rsidR="00D005A2">
        <w:rPr>
          <w:rFonts w:eastAsia="Calibri" w:cs="Times New Roman"/>
          <w:szCs w:val="20"/>
        </w:rPr>
        <w:t>.</w:t>
      </w:r>
    </w:p>
    <w:p w:rsidR="005A48E2" w:rsidRPr="00C95F78" w:rsidRDefault="005A48E2" w:rsidP="00BB1A5E">
      <w:pPr>
        <w:spacing w:line="240" w:lineRule="auto"/>
        <w:contextualSpacing/>
        <w:jc w:val="both"/>
        <w:rPr>
          <w:rFonts w:eastAsia="Calibri" w:cs="Times New Roman"/>
          <w:szCs w:val="20"/>
        </w:rPr>
      </w:pPr>
    </w:p>
    <w:p w:rsidR="005A48E2" w:rsidRPr="00C95F78" w:rsidRDefault="000C54BC" w:rsidP="00BB1A5E">
      <w:pPr>
        <w:spacing w:line="240" w:lineRule="auto"/>
        <w:contextualSpacing/>
        <w:jc w:val="both"/>
        <w:rPr>
          <w:rFonts w:eastAsia="Calibri" w:cs="Times New Roman"/>
          <w:szCs w:val="20"/>
        </w:rPr>
      </w:pPr>
      <w:r w:rsidRPr="00C95F78">
        <w:rPr>
          <w:rFonts w:eastAsia="Calibri" w:cs="Times New Roman"/>
          <w:szCs w:val="20"/>
        </w:rPr>
        <w:t xml:space="preserve">Taking the physical environment several steps further, there is concern in some quarters over </w:t>
      </w:r>
      <w:r w:rsidR="00775A88" w:rsidRPr="00C95F78">
        <w:rPr>
          <w:rFonts w:eastAsia="Calibri" w:cs="Times New Roman"/>
          <w:szCs w:val="20"/>
        </w:rPr>
        <w:t xml:space="preserve">the reputed health hazard imposed by electromagnetic fields </w:t>
      </w:r>
      <w:r w:rsidR="004C792A" w:rsidRPr="00C95F78">
        <w:rPr>
          <w:rFonts w:eastAsia="Calibri" w:cs="Times New Roman"/>
          <w:szCs w:val="20"/>
        </w:rPr>
        <w:t xml:space="preserve">(EMF) </w:t>
      </w:r>
      <w:r w:rsidR="00775A88" w:rsidRPr="00C95F78">
        <w:rPr>
          <w:rFonts w:eastAsia="Calibri" w:cs="Times New Roman"/>
          <w:szCs w:val="20"/>
        </w:rPr>
        <w:t xml:space="preserve">associated with electrical devices, especially electricity transmission. </w:t>
      </w:r>
      <w:r w:rsidR="004C792A" w:rsidRPr="00C95F78">
        <w:rPr>
          <w:rFonts w:eastAsia="Calibri" w:cs="Times New Roman"/>
          <w:szCs w:val="20"/>
        </w:rPr>
        <w:t>Some devices, such as microwaves, are particularly serious offenders, as they affect the electricity sine wave in such a way as to increase EMF. There is no consensus as to how to deal with the problem, although various technologies based on granite crystals or other inert materials can be used to “clean” electricity.</w:t>
      </w:r>
      <w:r w:rsidRPr="00C95F78">
        <w:rPr>
          <w:rFonts w:eastAsia="Calibri" w:cs="Times New Roman"/>
          <w:szCs w:val="20"/>
        </w:rPr>
        <w:t xml:space="preserve"> </w:t>
      </w:r>
      <w:r w:rsidR="00ED2536" w:rsidRPr="00C95F78">
        <w:rPr>
          <w:rFonts w:eastAsia="Calibri" w:cs="Times New Roman"/>
          <w:szCs w:val="20"/>
        </w:rPr>
        <w:t xml:space="preserve">As for the cables themselves, there are </w:t>
      </w:r>
      <w:r w:rsidR="00ED2536" w:rsidRPr="00C95F78">
        <w:rPr>
          <w:rFonts w:eastAsia="Calibri" w:cs="Times New Roman"/>
          <w:b/>
          <w:szCs w:val="20"/>
        </w:rPr>
        <w:t>“electrostress cables”</w:t>
      </w:r>
      <w:r w:rsidR="00ED2536" w:rsidRPr="00C95F78">
        <w:rPr>
          <w:rFonts w:eastAsia="Calibri" w:cs="Times New Roman"/>
          <w:szCs w:val="20"/>
        </w:rPr>
        <w:t xml:space="preserve"> in development for buildings. These contain an extra copper wire core.</w:t>
      </w:r>
    </w:p>
    <w:p w:rsidR="000E7032" w:rsidRPr="00C95F78" w:rsidRDefault="000E7032" w:rsidP="00BB1A5E">
      <w:pPr>
        <w:spacing w:after="0" w:line="240" w:lineRule="auto"/>
        <w:contextualSpacing/>
        <w:jc w:val="both"/>
      </w:pPr>
    </w:p>
    <w:p w:rsidR="005A48E2" w:rsidRPr="00C95F78" w:rsidRDefault="0000519E"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Enhanced Wiring and Greater Electrical Functionality</w:t>
      </w:r>
    </w:p>
    <w:p w:rsidR="005A48E2" w:rsidRPr="00C95F78" w:rsidRDefault="005A48E2" w:rsidP="00BB1A5E">
      <w:pPr>
        <w:spacing w:after="0" w:line="240" w:lineRule="auto"/>
        <w:contextualSpacing/>
        <w:jc w:val="both"/>
      </w:pPr>
    </w:p>
    <w:p w:rsidR="005A48E2" w:rsidRPr="00C95F78" w:rsidRDefault="00833012" w:rsidP="00BB1A5E">
      <w:pPr>
        <w:spacing w:after="0" w:line="240" w:lineRule="auto"/>
        <w:contextualSpacing/>
        <w:jc w:val="both"/>
      </w:pPr>
      <w:r w:rsidRPr="00C95F78">
        <w:t>At present, i</w:t>
      </w:r>
      <w:r w:rsidR="004C792A" w:rsidRPr="00C95F78">
        <w:t>t is normal for residential wiring to be installed to a standard no hi</w:t>
      </w:r>
      <w:r w:rsidRPr="00C95F78">
        <w:t>gher than that required by legi</w:t>
      </w:r>
      <w:r w:rsidR="004C792A" w:rsidRPr="00C95F78">
        <w:t>s</w:t>
      </w:r>
      <w:r w:rsidRPr="00C95F78">
        <w:t>la</w:t>
      </w:r>
      <w:r w:rsidR="004C792A" w:rsidRPr="00C95F78">
        <w:t>tion.</w:t>
      </w:r>
      <w:r w:rsidRPr="00C95F78">
        <w:t xml:space="preserve"> Indeed, in rural and shanty town areas in many poorer countries, where electricity is available at all, it is quite usual for electrical installation standards to be </w:t>
      </w:r>
      <w:r w:rsidR="00C014CB" w:rsidRPr="00C95F78">
        <w:t>well below the official one</w:t>
      </w:r>
      <w:r w:rsidRPr="00C95F78">
        <w:t>, which may itself be low. Even in more developed countries, where there is not a regular programme of inspection, many wiring systems in older buildings will fall below the official standard.</w:t>
      </w:r>
    </w:p>
    <w:p w:rsidR="005A48E2" w:rsidRPr="00C95F78" w:rsidRDefault="005A48E2" w:rsidP="00BB1A5E">
      <w:pPr>
        <w:spacing w:after="0" w:line="240" w:lineRule="auto"/>
        <w:contextualSpacing/>
        <w:jc w:val="both"/>
      </w:pPr>
    </w:p>
    <w:p w:rsidR="005A48E2" w:rsidRPr="00C95F78" w:rsidRDefault="00C014CB" w:rsidP="00BB1A5E">
      <w:pPr>
        <w:spacing w:after="0" w:line="240" w:lineRule="auto"/>
        <w:contextualSpacing/>
        <w:jc w:val="both"/>
      </w:pPr>
      <w:r w:rsidRPr="00C95F78">
        <w:t>While getting wiring standards up to a recognised minimum offers huge potential, there is even more potential if wiring standards are to be taken above the standards now recognised as minimum. This may be done by raising the legislation bar, or by creating consumer demand for higher wiring standards.</w:t>
      </w:r>
    </w:p>
    <w:p w:rsidR="005A48E2" w:rsidRPr="00C95F78" w:rsidRDefault="005A48E2" w:rsidP="00BB1A5E">
      <w:pPr>
        <w:spacing w:after="0" w:line="240" w:lineRule="auto"/>
        <w:contextualSpacing/>
        <w:jc w:val="both"/>
      </w:pPr>
    </w:p>
    <w:p w:rsidR="005A48E2" w:rsidRPr="00C95F78" w:rsidRDefault="008F08AC" w:rsidP="00BB1A5E">
      <w:pPr>
        <w:spacing w:after="0" w:line="240" w:lineRule="auto"/>
        <w:contextualSpacing/>
        <w:jc w:val="both"/>
      </w:pPr>
      <w:r w:rsidRPr="00C95F78">
        <w:t xml:space="preserve">The distinction between regulation and consumer driven demand is not as clear cut as it may first appear. It is common in many countries </w:t>
      </w:r>
      <w:r w:rsidR="00E7292A" w:rsidRPr="00C95F78">
        <w:t>to have</w:t>
      </w:r>
      <w:r w:rsidRPr="00C95F78">
        <w:t xml:space="preserve"> both a legal minimum standard and one or more higher, recommended standard(s) of electrical installation. The higher standards do, therefore, have some form of official status, and installers may consider </w:t>
      </w:r>
      <w:r w:rsidR="00180661" w:rsidRPr="00C95F78">
        <w:t xml:space="preserve">them </w:t>
      </w:r>
      <w:r w:rsidRPr="00C95F78">
        <w:t xml:space="preserve">in their commercial interest to comply. In Germany, for example, the Fachverband für Energie-Marketing und Anwendung recognises three standards. Type 1, the legal minimum standard, would imply 24 sockets in a 70 </w:t>
      </w:r>
      <w:r w:rsidR="00180661" w:rsidRPr="00C95F78">
        <w:t>m</w:t>
      </w:r>
      <w:r w:rsidR="004308DA" w:rsidRPr="00C95F78">
        <w:rPr>
          <w:vertAlign w:val="superscript"/>
        </w:rPr>
        <w:t>2</w:t>
      </w:r>
      <w:r w:rsidRPr="00C95F78">
        <w:t xml:space="preserve"> flat, 38 in a 100 </w:t>
      </w:r>
      <w:r w:rsidR="00180661" w:rsidRPr="00C95F78">
        <w:t>m</w:t>
      </w:r>
      <w:r w:rsidR="004308DA" w:rsidRPr="00C95F78">
        <w:rPr>
          <w:vertAlign w:val="superscript"/>
        </w:rPr>
        <w:t>2</w:t>
      </w:r>
      <w:r w:rsidR="00D005A2">
        <w:t xml:space="preserve"> </w:t>
      </w:r>
      <w:r w:rsidRPr="00C95F78">
        <w:t>house. The comparable figures for a Type 2 installation are 36 and 61 sockets. For a Type 3 installation, the figures are 46 and 78 sockets.</w:t>
      </w:r>
    </w:p>
    <w:p w:rsidR="005A48E2" w:rsidRPr="00C95F78" w:rsidRDefault="005A48E2" w:rsidP="00BB1A5E">
      <w:pPr>
        <w:spacing w:after="0" w:line="240" w:lineRule="auto"/>
        <w:contextualSpacing/>
        <w:jc w:val="both"/>
      </w:pPr>
    </w:p>
    <w:p w:rsidR="005A48E2" w:rsidRPr="00C95F78" w:rsidRDefault="00780DB6" w:rsidP="00BB1A5E">
      <w:pPr>
        <w:spacing w:after="0" w:line="240" w:lineRule="auto"/>
        <w:contextualSpacing/>
        <w:jc w:val="both"/>
      </w:pPr>
      <w:r w:rsidRPr="00C95F78">
        <w:t>To some extent, consumer desire for denser wiring systems, with more circuits and more outlets, is in place</w:t>
      </w:r>
      <w:r w:rsidR="006C3E0B" w:rsidRPr="00C95F78">
        <w:t>. The market is</w:t>
      </w:r>
      <w:r w:rsidRPr="00C95F78">
        <w:t xml:space="preserve"> created by the increasing density of electrical and electronic appliances in the home. It will seem sensible to a consumer that </w:t>
      </w:r>
      <w:r w:rsidR="006C3E0B" w:rsidRPr="00C95F78">
        <w:t>his home</w:t>
      </w:r>
      <w:r w:rsidRPr="00C95F78">
        <w:t xml:space="preserve"> should have enough power sockets to accommodate the increasing number of consumer electronics in use. </w:t>
      </w:r>
      <w:r w:rsidR="006C3E0B" w:rsidRPr="00C95F78">
        <w:t>At a minimum, a consumer may expect there to be one plug outlet for each appliance he wishes to plug in at any one time. To achieve this, while more fixed wiring is needed, there is also an implied loss of the need for extension leads.</w:t>
      </w:r>
    </w:p>
    <w:p w:rsidR="005A48E2" w:rsidRPr="00C95F78" w:rsidRDefault="005A48E2" w:rsidP="00BB1A5E">
      <w:pPr>
        <w:spacing w:after="0" w:line="240" w:lineRule="auto"/>
        <w:contextualSpacing/>
        <w:jc w:val="both"/>
      </w:pPr>
    </w:p>
    <w:p w:rsidR="005A48E2" w:rsidRPr="00C95F78" w:rsidRDefault="006C3E0B" w:rsidP="00BB1A5E">
      <w:pPr>
        <w:spacing w:after="0" w:line="240" w:lineRule="auto"/>
        <w:contextualSpacing/>
        <w:jc w:val="both"/>
      </w:pPr>
      <w:r w:rsidRPr="00C95F78">
        <w:t>The modern home not only has a high density of electrical and electronic appliances, increasingly, there is the expectation that they can “talk” to each other. The digital home concept, first publicised by Bill Gates in 2001, envisages that device</w:t>
      </w:r>
      <w:r w:rsidR="00354E24" w:rsidRPr="00C95F78">
        <w:t xml:space="preserve">s </w:t>
      </w:r>
      <w:r w:rsidRPr="00C95F78">
        <w:t xml:space="preserve">in the home are connected through a computer network hub. A digital home has a network consumer electronics, mobile, and PC devices that cooperate transparently. </w:t>
      </w:r>
      <w:r w:rsidR="00106C6F" w:rsidRPr="00C95F78">
        <w:t xml:space="preserve">The </w:t>
      </w:r>
      <w:r w:rsidRPr="00C95F78">
        <w:t xml:space="preserve">concept </w:t>
      </w:r>
      <w:r w:rsidR="00354E24" w:rsidRPr="00C95F78">
        <w:t>envisages that all</w:t>
      </w:r>
      <w:r w:rsidRPr="00C95F78">
        <w:t xml:space="preserve"> computing devices and home appliances conform to the same standard system</w:t>
      </w:r>
      <w:r w:rsidR="00354E24" w:rsidRPr="00C95F78">
        <w:t xml:space="preserve">, allowing everything </w:t>
      </w:r>
      <w:r w:rsidR="00D5564B" w:rsidRPr="00C95F78">
        <w:t xml:space="preserve">to </w:t>
      </w:r>
      <w:r w:rsidR="00354E24" w:rsidRPr="00C95F78">
        <w:t>be controlled from the</w:t>
      </w:r>
      <w:r w:rsidRPr="00C95F78">
        <w:t xml:space="preserve"> compute</w:t>
      </w:r>
      <w:r w:rsidR="00354E24" w:rsidRPr="00C95F78">
        <w:t>r hub</w:t>
      </w:r>
      <w:r w:rsidRPr="00C95F78">
        <w:t xml:space="preserve">. </w:t>
      </w:r>
    </w:p>
    <w:p w:rsidR="005A48E2" w:rsidRPr="00C95F78" w:rsidRDefault="005A48E2" w:rsidP="00BB1A5E">
      <w:pPr>
        <w:spacing w:after="0" w:line="240" w:lineRule="auto"/>
        <w:contextualSpacing/>
        <w:jc w:val="both"/>
      </w:pPr>
    </w:p>
    <w:p w:rsidR="005A48E2" w:rsidRPr="00C95F78" w:rsidRDefault="00354E24" w:rsidP="00BB1A5E">
      <w:pPr>
        <w:spacing w:after="0" w:line="240" w:lineRule="auto"/>
        <w:contextualSpacing/>
        <w:jc w:val="both"/>
      </w:pPr>
      <w:r w:rsidRPr="00C95F78">
        <w:t>To some degree, the original digital home concept is now being realised. In the entertainment arena, companies are now providing hardware,</w:t>
      </w:r>
      <w:r w:rsidR="006C3E0B" w:rsidRPr="00C95F78">
        <w:t xml:space="preserve"> software, connectivity and supporting technologies, </w:t>
      </w:r>
      <w:r w:rsidR="00555A4B" w:rsidRPr="00C95F78">
        <w:t>which</w:t>
      </w:r>
      <w:r w:rsidR="006C3E0B" w:rsidRPr="00C95F78">
        <w:t xml:space="preserve"> enable digital content to be distributed on multiple devices in the home and beyond.</w:t>
      </w:r>
      <w:r w:rsidR="00555A4B" w:rsidRPr="00C95F78">
        <w:t xml:space="preserve"> For home appliances, we are beginning to see some connectivity allowing, for example, the cooker to be switched on and off remotely.</w:t>
      </w:r>
    </w:p>
    <w:p w:rsidR="005A48E2" w:rsidRPr="00C95F78" w:rsidRDefault="005A48E2" w:rsidP="00BB1A5E">
      <w:pPr>
        <w:spacing w:after="0" w:line="240" w:lineRule="auto"/>
        <w:contextualSpacing/>
        <w:jc w:val="both"/>
      </w:pPr>
    </w:p>
    <w:p w:rsidR="005A48E2" w:rsidRPr="00C95F78" w:rsidRDefault="00555A4B" w:rsidP="00BB1A5E">
      <w:pPr>
        <w:spacing w:after="0" w:line="240" w:lineRule="auto"/>
        <w:contextualSpacing/>
        <w:jc w:val="both"/>
      </w:pPr>
      <w:r w:rsidRPr="00C95F78">
        <w:t>The original digital home concept seem</w:t>
      </w:r>
      <w:r w:rsidR="00106C6F" w:rsidRPr="00C95F78">
        <w:t>s</w:t>
      </w:r>
      <w:r w:rsidRPr="00C95F78">
        <w:t xml:space="preserve"> to imply the need for a fuller wired network. To some extent, it still does, but other options are available. Rather than wiring, connectivity can be achieved through a wireless port (</w:t>
      </w:r>
      <w:r w:rsidR="00106C6F" w:rsidRPr="00C95F78">
        <w:t>i.e.</w:t>
      </w:r>
      <w:r w:rsidRPr="00C95F78">
        <w:t xml:space="preserve"> Wi-Fi), or even through a USB port. Also, rather than connectivity to a central PC hub, as originally envisaged, control from handheld devices such as the iPhone</w:t>
      </w:r>
      <w:r w:rsidR="008F08AC" w:rsidRPr="00C95F78">
        <w:t xml:space="preserve"> (by Wi-Fi) is becoming more then reality.</w:t>
      </w:r>
    </w:p>
    <w:p w:rsidR="005A48E2" w:rsidRPr="00C95F78" w:rsidRDefault="005A48E2" w:rsidP="00BB1A5E">
      <w:pPr>
        <w:spacing w:after="0" w:line="240" w:lineRule="auto"/>
        <w:contextualSpacing/>
        <w:jc w:val="both"/>
      </w:pPr>
    </w:p>
    <w:p w:rsidR="005A48E2" w:rsidRPr="00C95F78" w:rsidRDefault="00A254A2" w:rsidP="00BB1A5E">
      <w:pPr>
        <w:spacing w:after="0" w:line="240" w:lineRule="auto"/>
        <w:contextualSpacing/>
        <w:jc w:val="both"/>
      </w:pPr>
      <w:r w:rsidRPr="00C95F78">
        <w:t xml:space="preserve">Taking the above into account, it appears that the digital home may not require a great deal of additional fixed wiring installation. What it will require is a level of wiring that, in most countries, is only recommended, </w:t>
      </w:r>
      <w:r w:rsidR="00106C6F" w:rsidRPr="00C95F78">
        <w:t xml:space="preserve">i.e. </w:t>
      </w:r>
      <w:r w:rsidRPr="00C95F78">
        <w:t>above the legal minimum. We label this the “integrated system” standard of wiring.</w:t>
      </w:r>
    </w:p>
    <w:p w:rsidR="005A48E2" w:rsidRPr="00C95F78" w:rsidRDefault="005A48E2" w:rsidP="00BB1A5E">
      <w:pPr>
        <w:spacing w:after="0" w:line="240" w:lineRule="auto"/>
        <w:contextualSpacing/>
        <w:jc w:val="both"/>
      </w:pPr>
    </w:p>
    <w:p w:rsidR="005A48E2" w:rsidRPr="00C95F78" w:rsidRDefault="0000519E"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Smart Ageing</w:t>
      </w:r>
    </w:p>
    <w:p w:rsidR="005A48E2" w:rsidRPr="00C95F78" w:rsidRDefault="005A48E2" w:rsidP="00BB1A5E">
      <w:pPr>
        <w:spacing w:after="0" w:line="240" w:lineRule="auto"/>
        <w:contextualSpacing/>
        <w:jc w:val="both"/>
      </w:pPr>
    </w:p>
    <w:p w:rsidR="005A48E2" w:rsidRPr="00C95F78" w:rsidRDefault="00F40C02" w:rsidP="00BB1A5E">
      <w:pPr>
        <w:spacing w:after="0" w:line="240" w:lineRule="auto"/>
        <w:contextualSpacing/>
        <w:jc w:val="both"/>
      </w:pPr>
      <w:r w:rsidRPr="00C95F78">
        <w:t xml:space="preserve">As </w:t>
      </w:r>
      <w:r w:rsidR="001B3297" w:rsidRPr="00C95F78">
        <w:t xml:space="preserve">the proportion of older people in the population increases, this has fundamental effects on the needs of society overall, and its ability to satisfy them. An older population is less able to care for itself, and will wish for the living environment to be adapted to reflect this fact. </w:t>
      </w:r>
      <w:r w:rsidR="00720E89" w:rsidRPr="00C95F78">
        <w:t>This affects the places the</w:t>
      </w:r>
      <w:r w:rsidR="00E66619" w:rsidRPr="00C95F78">
        <w:t>y</w:t>
      </w:r>
      <w:r w:rsidR="00720E89" w:rsidRPr="00C95F78">
        <w:t xml:space="preserve"> live in, the outside environment and health care systems. </w:t>
      </w:r>
    </w:p>
    <w:p w:rsidR="005A48E2" w:rsidRPr="00C95F78" w:rsidRDefault="005A48E2" w:rsidP="00BB1A5E">
      <w:pPr>
        <w:spacing w:after="0" w:line="240" w:lineRule="auto"/>
        <w:contextualSpacing/>
        <w:jc w:val="both"/>
      </w:pPr>
    </w:p>
    <w:p w:rsidR="005A48E2" w:rsidRPr="00C95F78" w:rsidRDefault="00720E89" w:rsidP="00BB1A5E">
      <w:pPr>
        <w:spacing w:after="0" w:line="240" w:lineRule="auto"/>
        <w:contextualSpacing/>
        <w:jc w:val="both"/>
      </w:pPr>
      <w:r w:rsidRPr="00C95F78">
        <w:t>A larger proportion of</w:t>
      </w:r>
      <w:r w:rsidR="001B3297" w:rsidRPr="00C95F78">
        <w:t xml:space="preserve"> older people, even assuming a s</w:t>
      </w:r>
      <w:r w:rsidR="005643F9">
        <w:t>maller number of children, mean</w:t>
      </w:r>
      <w:r w:rsidR="001B3297" w:rsidRPr="00C95F78">
        <w:t xml:space="preserve"> that the size of the economically active population relative to the total will fall. This affects the ability of society to pay for the care of the elderly, and also may be reflected in an adaptation of the work environment to allow fewer people to carry out the same working tasks. In this Section we look only at the likely needs and solutions for the ageing population itself</w:t>
      </w:r>
      <w:r w:rsidRPr="00C95F78">
        <w:t xml:space="preserve"> in their own living space</w:t>
      </w:r>
      <w:r w:rsidR="001B3297" w:rsidRPr="00C95F78">
        <w:t>.</w:t>
      </w:r>
    </w:p>
    <w:p w:rsidR="005A48E2" w:rsidRPr="00C95F78" w:rsidRDefault="005A48E2" w:rsidP="00BB1A5E">
      <w:pPr>
        <w:spacing w:after="0" w:line="240" w:lineRule="auto"/>
        <w:contextualSpacing/>
        <w:jc w:val="both"/>
      </w:pPr>
    </w:p>
    <w:p w:rsidR="005A48E2" w:rsidRPr="00C95F78" w:rsidRDefault="0000519E" w:rsidP="00BB1A5E">
      <w:pPr>
        <w:spacing w:after="0" w:line="240" w:lineRule="auto"/>
        <w:contextualSpacing/>
        <w:jc w:val="both"/>
      </w:pPr>
      <w:r w:rsidRPr="00C95F78">
        <w:t xml:space="preserve">The </w:t>
      </w:r>
      <w:r w:rsidR="001B3297" w:rsidRPr="00C95F78">
        <w:t xml:space="preserve">ageing population is increasing in relative size quickly. The </w:t>
      </w:r>
      <w:r w:rsidRPr="00C95F78">
        <w:t xml:space="preserve">number of older persons </w:t>
      </w:r>
      <w:r w:rsidR="001B3297" w:rsidRPr="00C95F78">
        <w:t xml:space="preserve">(over 60) </w:t>
      </w:r>
      <w:r w:rsidRPr="00C95F78">
        <w:t>has tripled over the</w:t>
      </w:r>
      <w:r w:rsidR="00F40C02" w:rsidRPr="00C95F78">
        <w:t xml:space="preserve"> </w:t>
      </w:r>
      <w:r w:rsidR="001B3297" w:rsidRPr="00C95F78">
        <w:t xml:space="preserve">last 50 years; it </w:t>
      </w:r>
      <w:r w:rsidR="00E66619" w:rsidRPr="00C95F78">
        <w:t xml:space="preserve">is </w:t>
      </w:r>
      <w:r w:rsidR="001B3297" w:rsidRPr="00C95F78">
        <w:t>expected to more</w:t>
      </w:r>
      <w:r w:rsidRPr="00C95F78">
        <w:t xml:space="preserve"> than triple again over</w:t>
      </w:r>
      <w:r w:rsidR="00F40C02" w:rsidRPr="00C95F78">
        <w:t xml:space="preserve"> </w:t>
      </w:r>
      <w:r w:rsidRPr="00C95F78">
        <w:t>the next 50 years</w:t>
      </w:r>
      <w:r w:rsidR="00376B18" w:rsidRPr="00C95F78">
        <w:rPr>
          <w:rStyle w:val="FootnoteReference"/>
        </w:rPr>
        <w:footnoteReference w:id="32"/>
      </w:r>
      <w:r w:rsidR="001B3297" w:rsidRPr="00C95F78">
        <w:t>.</w:t>
      </w:r>
      <w:r w:rsidR="00F40C02" w:rsidRPr="00C95F78">
        <w:t xml:space="preserve"> </w:t>
      </w:r>
      <w:r w:rsidR="00376B18" w:rsidRPr="00C95F78">
        <w:t>Currently, the growth rate of the older population (1.9</w:t>
      </w:r>
      <w:r w:rsidR="00B07458" w:rsidRPr="00C95F78">
        <w:t>% p.</w:t>
      </w:r>
      <w:r w:rsidR="00376B18" w:rsidRPr="00C95F78">
        <w:t>a.) is significantly higher than that of the total population (1.2% p.</w:t>
      </w:r>
      <w:r w:rsidR="005643F9">
        <w:t xml:space="preserve"> </w:t>
      </w:r>
      <w:r w:rsidR="00376B18" w:rsidRPr="00C95F78">
        <w:t>a.). In the near future, the difference between the two rates is expected to become even larger as the baby boom generation starts reaching older ages in several parts of the world.</w:t>
      </w:r>
    </w:p>
    <w:p w:rsidR="005A48E2" w:rsidRPr="00C95F78" w:rsidRDefault="00BB21BB" w:rsidP="00BB1A5E">
      <w:pPr>
        <w:spacing w:after="0" w:line="240" w:lineRule="auto"/>
        <w:contextualSpacing/>
        <w:jc w:val="both"/>
      </w:pPr>
      <w:r w:rsidRPr="00C95F78">
        <w:t>As the older population has grown faster than</w:t>
      </w:r>
      <w:r w:rsidR="00376B18" w:rsidRPr="00C95F78">
        <w:t xml:space="preserve"> </w:t>
      </w:r>
      <w:r w:rsidRPr="00C95F78">
        <w:t>the total population, the proportion of older</w:t>
      </w:r>
      <w:r w:rsidR="00376B18" w:rsidRPr="00C95F78">
        <w:t xml:space="preserve"> </w:t>
      </w:r>
      <w:r w:rsidRPr="00C95F78">
        <w:t>persons relative to the rest of the population has</w:t>
      </w:r>
      <w:r w:rsidR="00376B18" w:rsidRPr="00C95F78">
        <w:t xml:space="preserve"> </w:t>
      </w:r>
      <w:r w:rsidRPr="00C95F78">
        <w:t>increased considerably. At the global level, 1 in</w:t>
      </w:r>
      <w:r w:rsidR="00376B18" w:rsidRPr="00C95F78">
        <w:t xml:space="preserve"> every 20</w:t>
      </w:r>
      <w:r w:rsidRPr="00C95F78">
        <w:t xml:space="preserve"> i</w:t>
      </w:r>
      <w:r w:rsidR="00376B18" w:rsidRPr="00C95F78">
        <w:t>ndividuals was at least 65</w:t>
      </w:r>
      <w:r w:rsidRPr="00C95F78">
        <w:t xml:space="preserve"> years of age</w:t>
      </w:r>
      <w:r w:rsidR="00376B18" w:rsidRPr="00C95F78">
        <w:t xml:space="preserve"> </w:t>
      </w:r>
      <w:r w:rsidRPr="00C95F78">
        <w:t xml:space="preserve">in </w:t>
      </w:r>
      <w:r w:rsidR="00376B18" w:rsidRPr="00C95F78">
        <w:t>1950. By</w:t>
      </w:r>
      <w:r w:rsidRPr="00C95F78">
        <w:t xml:space="preserve"> 2000</w:t>
      </w:r>
      <w:r w:rsidR="00376B18" w:rsidRPr="00C95F78">
        <w:t xml:space="preserve"> to ratio had increased to 1 in 14; by 2050 it will have increased to 1 in 6.</w:t>
      </w:r>
    </w:p>
    <w:p w:rsidR="005A48E2" w:rsidRPr="00C95F78" w:rsidRDefault="005A48E2" w:rsidP="00BB1A5E">
      <w:pPr>
        <w:spacing w:after="0" w:line="240" w:lineRule="auto"/>
        <w:contextualSpacing/>
        <w:jc w:val="both"/>
      </w:pPr>
    </w:p>
    <w:p w:rsidR="005A48E2" w:rsidRPr="00C95F78" w:rsidRDefault="00376B18" w:rsidP="00BB1A5E">
      <w:pPr>
        <w:spacing w:after="0" w:line="240" w:lineRule="auto"/>
        <w:contextualSpacing/>
        <w:jc w:val="both"/>
      </w:pPr>
      <w:r w:rsidRPr="00C95F78">
        <w:t>The ageing population is most highly concentrated in the developed countries. This is set to remain the case, although the gap will narrow as the rate of increase in the ageing population of the world’s poorer countries is set to exceed that in the richer nations. By 2050, one in 4 people in the developed nations is expected to be 65 or over. In the developing world, the proportion is expected to be 1 in 7.</w:t>
      </w:r>
      <w:r w:rsidR="00720E89" w:rsidRPr="00C95F78">
        <w:t xml:space="preserve"> E</w:t>
      </w:r>
      <w:r w:rsidR="00BB21BB" w:rsidRPr="00C95F78">
        <w:t xml:space="preserve">urope currently </w:t>
      </w:r>
      <w:r w:rsidR="00720E89" w:rsidRPr="00C95F78">
        <w:t>has the highest proportion of older people, and that is set to remain the case. In 2050, a</w:t>
      </w:r>
      <w:r w:rsidR="00BB21BB" w:rsidRPr="00C95F78">
        <w:t>lmost 30</w:t>
      </w:r>
      <w:r w:rsidR="00720E89" w:rsidRPr="00C95F78">
        <w:t xml:space="preserve">% of Europe’s population </w:t>
      </w:r>
      <w:r w:rsidR="00BB21BB" w:rsidRPr="00C95F78">
        <w:t>is projected to be 65 or over, up from 15</w:t>
      </w:r>
      <w:r w:rsidR="00720E89" w:rsidRPr="00C95F78">
        <w:t xml:space="preserve">% </w:t>
      </w:r>
      <w:r w:rsidR="00BB21BB" w:rsidRPr="00C95F78">
        <w:t xml:space="preserve">in 2000. </w:t>
      </w:r>
    </w:p>
    <w:p w:rsidR="005A48E2" w:rsidRPr="00C95F78" w:rsidRDefault="005A48E2" w:rsidP="00BB1A5E">
      <w:pPr>
        <w:spacing w:after="0" w:line="240" w:lineRule="auto"/>
        <w:contextualSpacing/>
        <w:jc w:val="both"/>
      </w:pPr>
    </w:p>
    <w:p w:rsidR="005A48E2" w:rsidRPr="00C95F78" w:rsidRDefault="002614CA" w:rsidP="00BB1A5E">
      <w:pPr>
        <w:spacing w:after="0" w:line="240" w:lineRule="auto"/>
        <w:contextualSpacing/>
        <w:jc w:val="both"/>
      </w:pPr>
      <w:r w:rsidRPr="00C95F78">
        <w:t>Not surprisingly, population ageing and its social and economic consequences have been drawing increased attention from policy-makers. According to the United Nations, the challenge for the future is “to ensure that people everywhere will be enabled to age with security and dignity and continue to participate in their societies as citizens with full rights”. At the same time, “the rights of older persons should not be incompatible with those of other age groups, and the reciprocal relationships between the generations must be nurtured and encouraged”. This is indeed a very tall order.</w:t>
      </w:r>
    </w:p>
    <w:p w:rsidR="005A48E2" w:rsidRPr="00C95F78" w:rsidRDefault="005A48E2" w:rsidP="00BB1A5E">
      <w:pPr>
        <w:spacing w:after="0" w:line="240" w:lineRule="auto"/>
        <w:contextualSpacing/>
        <w:jc w:val="both"/>
      </w:pPr>
    </w:p>
    <w:p w:rsidR="005A48E2" w:rsidRPr="00C95F78" w:rsidRDefault="00BD2BD2" w:rsidP="00BB1A5E">
      <w:pPr>
        <w:spacing w:after="0" w:line="240" w:lineRule="auto"/>
        <w:contextualSpacing/>
        <w:jc w:val="both"/>
      </w:pPr>
      <w:r w:rsidRPr="00C95F78">
        <w:t xml:space="preserve">In Europe, the solution achieving most attention is to create a physical environment allowing elderly people to stay in their own homes for longer. Many elderly people would like to stay in their own homes, even when frail and needing assistance. This can be an economic and socially beneficial option for society overall, as assisting the elderly to stay autonomous reduces the high costs of residential care on the state, and reduces the burden on other carers in society. </w:t>
      </w:r>
    </w:p>
    <w:p w:rsidR="00BD2BD2" w:rsidRPr="00C95F78" w:rsidRDefault="00BD2BD2" w:rsidP="00BB1A5E">
      <w:pPr>
        <w:spacing w:after="0" w:line="240" w:lineRule="auto"/>
        <w:contextualSpacing/>
        <w:jc w:val="both"/>
      </w:pPr>
    </w:p>
    <w:p w:rsidR="005A48E2" w:rsidRPr="00C95F78" w:rsidRDefault="00BD2BD2" w:rsidP="00BB1A5E">
      <w:pPr>
        <w:spacing w:after="0" w:line="240" w:lineRule="auto"/>
        <w:contextualSpacing/>
        <w:jc w:val="both"/>
      </w:pPr>
      <w:r w:rsidRPr="00C95F78">
        <w:t xml:space="preserve">Technical solutions to address the needs of ageing users aim either to automate existing systems so that they are easier for frail people to use, or they provide sensoring and monitoring to provide security for both the home and person. Devices can either be battery-powered or connected to the mains electricity supply. </w:t>
      </w:r>
    </w:p>
    <w:p w:rsidR="005A48E2" w:rsidRPr="00C95F78" w:rsidRDefault="005A48E2" w:rsidP="00BB1A5E">
      <w:pPr>
        <w:spacing w:after="0" w:line="240" w:lineRule="auto"/>
        <w:contextualSpacing/>
        <w:jc w:val="both"/>
      </w:pPr>
    </w:p>
    <w:p w:rsidR="005A48E2" w:rsidRPr="00C95F78" w:rsidRDefault="00BD2BD2" w:rsidP="00BB1A5E">
      <w:pPr>
        <w:spacing w:after="0" w:line="240" w:lineRule="auto"/>
        <w:contextualSpacing/>
        <w:jc w:val="both"/>
      </w:pPr>
      <w:r w:rsidRPr="00C95F78">
        <w:t xml:space="preserve">The monitoring of elderly people can be extended to incorporate tele-medicine, where health information is used to determine whether a nurse should visit, for example. </w:t>
      </w:r>
    </w:p>
    <w:p w:rsidR="005A48E2" w:rsidRPr="00C95F78" w:rsidRDefault="005A48E2" w:rsidP="00BB1A5E">
      <w:pPr>
        <w:spacing w:after="0" w:line="240" w:lineRule="auto"/>
        <w:contextualSpacing/>
        <w:jc w:val="both"/>
      </w:pPr>
    </w:p>
    <w:p w:rsidR="005A48E2" w:rsidRPr="00C95F78" w:rsidRDefault="00BD2BD2" w:rsidP="00BB1A5E">
      <w:pPr>
        <w:spacing w:after="0" w:line="240" w:lineRule="auto"/>
        <w:contextualSpacing/>
        <w:jc w:val="both"/>
      </w:pPr>
      <w:r w:rsidRPr="00C95F78">
        <w:t>Aspects of the home adapted for smart ageing include:</w:t>
      </w:r>
    </w:p>
    <w:p w:rsidR="00BD2BD2" w:rsidRPr="00C95F78" w:rsidRDefault="00BD2BD2" w:rsidP="00BB1A5E">
      <w:pPr>
        <w:spacing w:after="0" w:line="240" w:lineRule="auto"/>
        <w:contextualSpacing/>
        <w:jc w:val="both"/>
      </w:pPr>
    </w:p>
    <w:p w:rsidR="005A48E2" w:rsidRPr="00C95F78" w:rsidRDefault="00BD2BD2" w:rsidP="00BB1A5E">
      <w:pPr>
        <w:pStyle w:val="ListParagraph"/>
        <w:spacing w:after="0" w:line="240" w:lineRule="auto"/>
        <w:ind w:left="0"/>
        <w:jc w:val="both"/>
      </w:pPr>
      <w:r w:rsidRPr="00C95F78">
        <w:rPr>
          <w:b/>
        </w:rPr>
        <w:t>Wiring to “Integrated System” Standard:</w:t>
      </w:r>
      <w:r w:rsidRPr="00C95F78">
        <w:t xml:space="preserve"> The underlying wiring system will need to be of a high quality. It will need to be safe, with a large number of electrical outlets and generally suitable for the installation of electrical and electronic systems that monitor and control the physical environment. For existing properties, this may mean that rewiring is needed.</w:t>
      </w:r>
    </w:p>
    <w:p w:rsidR="005A48E2" w:rsidRPr="00C95F78" w:rsidRDefault="005A48E2" w:rsidP="00BB1A5E">
      <w:pPr>
        <w:pStyle w:val="ListParagraph"/>
        <w:spacing w:after="0" w:line="240" w:lineRule="auto"/>
        <w:ind w:left="0"/>
        <w:jc w:val="both"/>
      </w:pPr>
    </w:p>
    <w:p w:rsidR="005A48E2" w:rsidRPr="00C95F78" w:rsidRDefault="00BD2BD2" w:rsidP="00BB1A5E">
      <w:pPr>
        <w:pStyle w:val="ListParagraph"/>
        <w:spacing w:after="0" w:line="240" w:lineRule="auto"/>
        <w:ind w:left="0"/>
        <w:jc w:val="both"/>
      </w:pPr>
      <w:r w:rsidRPr="00C95F78">
        <w:rPr>
          <w:b/>
        </w:rPr>
        <w:t xml:space="preserve">Wiring for Ease of Use: </w:t>
      </w:r>
      <w:r w:rsidRPr="00C95F78">
        <w:t>In addition to the more technical solutions, the switches and plug sockets will have to be positioned for ease of use. Again, in an existing property this may mean some rewiring.</w:t>
      </w:r>
    </w:p>
    <w:p w:rsidR="005A48E2" w:rsidRPr="00C95F78" w:rsidRDefault="005A48E2" w:rsidP="00BB1A5E">
      <w:pPr>
        <w:pStyle w:val="ListParagraph"/>
        <w:spacing w:after="0" w:line="240" w:lineRule="auto"/>
        <w:ind w:left="0"/>
        <w:jc w:val="both"/>
      </w:pPr>
    </w:p>
    <w:p w:rsidR="006A065D" w:rsidRPr="00C95F78" w:rsidRDefault="006A065D" w:rsidP="00BB1A5E">
      <w:pPr>
        <w:spacing w:line="240" w:lineRule="auto"/>
        <w:jc w:val="both"/>
        <w:rPr>
          <w:b/>
          <w:bCs/>
          <w:color w:val="4F81BD" w:themeColor="accent1"/>
          <w:sz w:val="28"/>
          <w:szCs w:val="28"/>
        </w:rPr>
      </w:pPr>
      <w:r w:rsidRPr="00C95F78">
        <w:rPr>
          <w:sz w:val="28"/>
          <w:szCs w:val="28"/>
        </w:rPr>
        <w:br w:type="page"/>
      </w:r>
    </w:p>
    <w:p w:rsidR="00DF0CBD" w:rsidRPr="00C95F78" w:rsidRDefault="00DF0CBD" w:rsidP="00621010">
      <w:pPr>
        <w:pStyle w:val="Caption"/>
        <w:spacing w:after="0"/>
        <w:contextualSpacing/>
        <w:jc w:val="center"/>
        <w:rPr>
          <w:sz w:val="28"/>
          <w:szCs w:val="28"/>
        </w:rPr>
      </w:pPr>
      <w:bookmarkStart w:id="188" w:name="_Toc26367174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95</w:t>
      </w:r>
      <w:r w:rsidR="00D50FDC" w:rsidRPr="00C95F78">
        <w:rPr>
          <w:sz w:val="28"/>
          <w:szCs w:val="28"/>
        </w:rPr>
        <w:fldChar w:fldCharType="end"/>
      </w:r>
      <w:r w:rsidRPr="00C95F78">
        <w:rPr>
          <w:sz w:val="28"/>
          <w:szCs w:val="28"/>
        </w:rPr>
        <w:t>: Size and Rate of Growth of the Population Aged Over 60</w:t>
      </w:r>
      <w:bookmarkEnd w:id="188"/>
    </w:p>
    <w:p w:rsidR="005A48E2" w:rsidRPr="00C95F78" w:rsidRDefault="003D5055" w:rsidP="00BB1A5E">
      <w:pPr>
        <w:spacing w:after="0" w:line="240" w:lineRule="auto"/>
        <w:contextualSpacing/>
        <w:jc w:val="both"/>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3594100</wp:posOffset>
                </wp:positionH>
                <wp:positionV relativeFrom="paragraph">
                  <wp:posOffset>136525</wp:posOffset>
                </wp:positionV>
                <wp:extent cx="1137920" cy="287020"/>
                <wp:effectExtent l="3175" t="3175" r="1905"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103" w:rsidRPr="00DF0CBD" w:rsidRDefault="004D7103" w:rsidP="00DF0CBD">
                            <w:pPr>
                              <w:rPr>
                                <w:b/>
                                <w:color w:val="000000" w:themeColor="text1"/>
                              </w:rPr>
                            </w:pPr>
                            <w:r>
                              <w:rPr>
                                <w:b/>
                                <w:color w:val="000000" w:themeColor="text1"/>
                              </w:rPr>
                              <w:t>Rate of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83pt;margin-top:10.75pt;width:89.6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n8fwIAABA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" stroked="f">
                <v:textbox>
                  <w:txbxContent>
                    <w:p w:rsidR="004D7103" w:rsidRPr="00DF0CBD" w:rsidRDefault="004D7103" w:rsidP="00DF0CBD">
                      <w:pPr>
                        <w:rPr>
                          <w:b/>
                          <w:color w:val="000000" w:themeColor="text1"/>
                        </w:rPr>
                      </w:pPr>
                      <w:r>
                        <w:rPr>
                          <w:b/>
                          <w:color w:val="000000" w:themeColor="text1"/>
                        </w:rPr>
                        <w:t>Rate of growth</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1123950</wp:posOffset>
                </wp:positionH>
                <wp:positionV relativeFrom="paragraph">
                  <wp:posOffset>159385</wp:posOffset>
                </wp:positionV>
                <wp:extent cx="1137920" cy="287020"/>
                <wp:effectExtent l="0" t="0" r="0" b="12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103" w:rsidRPr="00DF0CBD" w:rsidRDefault="004D7103">
                            <w:pPr>
                              <w:rPr>
                                <w:b/>
                                <w:color w:val="000000" w:themeColor="text1"/>
                              </w:rPr>
                            </w:pPr>
                            <w:r w:rsidRPr="00DF0CBD">
                              <w:rPr>
                                <w:b/>
                                <w:color w:val="000000" w:themeColor="text1"/>
                              </w:rPr>
                              <w:t>Number over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88.5pt;margin-top:12.55pt;width:89.6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" stroked="f">
                <v:textbox>
                  <w:txbxContent>
                    <w:p w:rsidR="004D7103" w:rsidRPr="00DF0CBD" w:rsidRDefault="004D7103">
                      <w:pPr>
                        <w:rPr>
                          <w:b/>
                          <w:color w:val="000000" w:themeColor="text1"/>
                        </w:rPr>
                      </w:pPr>
                      <w:r w:rsidRPr="00DF0CBD">
                        <w:rPr>
                          <w:b/>
                          <w:color w:val="000000" w:themeColor="text1"/>
                        </w:rPr>
                        <w:t>Number over 60</w:t>
                      </w:r>
                    </w:p>
                  </w:txbxContent>
                </v:textbox>
              </v:shape>
            </w:pict>
          </mc:Fallback>
        </mc:AlternateContent>
      </w:r>
    </w:p>
    <w:p w:rsidR="00BB21BB" w:rsidRPr="00C95F78" w:rsidRDefault="00BB21BB" w:rsidP="00BB1A5E">
      <w:pPr>
        <w:spacing w:after="0" w:line="240" w:lineRule="auto"/>
        <w:contextualSpacing/>
        <w:jc w:val="both"/>
        <w:sectPr w:rsidR="00BB21BB" w:rsidRPr="00C95F78" w:rsidSect="006A5F5A">
          <w:pgSz w:w="11906" w:h="16838" w:code="9"/>
          <w:pgMar w:top="1474" w:right="1361" w:bottom="1247" w:left="1361" w:header="709" w:footer="709" w:gutter="0"/>
          <w:pgNumType w:fmt="numberInDash" w:start="16"/>
          <w:cols w:space="708"/>
          <w:titlePg/>
          <w:docGrid w:linePitch="360"/>
        </w:sectPr>
      </w:pPr>
    </w:p>
    <w:p w:rsidR="005A48E2" w:rsidRPr="00C95F78" w:rsidRDefault="00BB21BB" w:rsidP="00BB1A5E">
      <w:pPr>
        <w:spacing w:after="0" w:line="240" w:lineRule="auto"/>
        <w:contextualSpacing/>
        <w:jc w:val="both"/>
        <w:rPr>
          <w:noProof/>
          <w:lang w:eastAsia="en-GB"/>
        </w:rPr>
      </w:pPr>
      <w:r w:rsidRPr="00C95F78">
        <w:rPr>
          <w:noProof/>
          <w:lang w:val="en-US"/>
        </w:rPr>
        <w:drawing>
          <wp:inline distT="0" distB="0" distL="0" distR="0">
            <wp:extent cx="2751429" cy="2640001"/>
            <wp:effectExtent l="1905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2751429" cy="2640001"/>
                    </a:xfrm>
                    <a:prstGeom prst="rect">
                      <a:avLst/>
                    </a:prstGeom>
                    <a:noFill/>
                    <a:ln w="9525">
                      <a:noFill/>
                      <a:miter lim="800000"/>
                      <a:headEnd/>
                      <a:tailEnd/>
                    </a:ln>
                  </pic:spPr>
                </pic:pic>
              </a:graphicData>
            </a:graphic>
          </wp:inline>
        </w:drawing>
      </w:r>
      <w:r w:rsidR="00DF0CBD" w:rsidRPr="00C95F78">
        <w:rPr>
          <w:noProof/>
          <w:lang w:eastAsia="en-GB"/>
        </w:rPr>
        <w:br w:type="column"/>
      </w:r>
      <w:r w:rsidRPr="00C95F78">
        <w:rPr>
          <w:noProof/>
          <w:lang w:eastAsia="en-GB"/>
        </w:rPr>
        <w:t xml:space="preserve"> </w:t>
      </w:r>
    </w:p>
    <w:p w:rsidR="005A48E2" w:rsidRPr="00C95F78" w:rsidRDefault="00BB21BB" w:rsidP="00BB1A5E">
      <w:pPr>
        <w:spacing w:after="0" w:line="240" w:lineRule="auto"/>
        <w:contextualSpacing/>
        <w:jc w:val="both"/>
        <w:rPr>
          <w:noProof/>
          <w:lang w:eastAsia="en-GB"/>
        </w:rPr>
      </w:pPr>
      <w:r w:rsidRPr="00C95F78">
        <w:rPr>
          <w:noProof/>
          <w:lang w:val="en-US"/>
        </w:rPr>
        <w:drawing>
          <wp:inline distT="0" distB="0" distL="0" distR="0">
            <wp:extent cx="2787023" cy="2374477"/>
            <wp:effectExtent l="19050" t="0" r="0"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srcRect/>
                    <a:stretch>
                      <a:fillRect/>
                    </a:stretch>
                  </pic:blipFill>
                  <pic:spPr bwMode="auto">
                    <a:xfrm>
                      <a:off x="0" y="0"/>
                      <a:ext cx="2787023" cy="2374477"/>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noProof/>
          <w:lang w:eastAsia="en-GB"/>
        </w:rPr>
      </w:pPr>
    </w:p>
    <w:p w:rsidR="005A48E2" w:rsidRPr="00C95F78" w:rsidRDefault="005A48E2" w:rsidP="00BB1A5E">
      <w:pPr>
        <w:spacing w:after="0" w:line="240" w:lineRule="auto"/>
        <w:contextualSpacing/>
        <w:jc w:val="both"/>
      </w:pPr>
    </w:p>
    <w:p w:rsidR="00BB21BB" w:rsidRPr="00C95F78" w:rsidRDefault="00BB21BB" w:rsidP="00BB1A5E">
      <w:pPr>
        <w:spacing w:after="0" w:line="240" w:lineRule="auto"/>
        <w:contextualSpacing/>
        <w:jc w:val="both"/>
        <w:sectPr w:rsidR="00BB21BB" w:rsidRPr="00C95F78" w:rsidSect="00BB21BB">
          <w:type w:val="continuous"/>
          <w:pgSz w:w="11906" w:h="16838" w:code="9"/>
          <w:pgMar w:top="1474" w:right="1361" w:bottom="1247" w:left="1361" w:header="709" w:footer="709" w:gutter="0"/>
          <w:pgNumType w:fmt="numberInDash" w:start="12"/>
          <w:cols w:num="2" w:space="708"/>
          <w:titlePg/>
          <w:docGrid w:linePitch="360"/>
        </w:sectPr>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9408ED" w:rsidP="00BB1A5E">
      <w:pPr>
        <w:spacing w:after="0" w:line="240" w:lineRule="auto"/>
        <w:contextualSpacing/>
        <w:jc w:val="both"/>
      </w:pPr>
      <w:r w:rsidRPr="00C95F78">
        <w:rPr>
          <w:b/>
        </w:rPr>
        <w:t xml:space="preserve">Central Intelligence: </w:t>
      </w:r>
      <w:r w:rsidR="008D0E49" w:rsidRPr="00C95F78">
        <w:t>A typical configuration would have an integrated control system at the core of the electrical system, with wiring radiating outwards in a star form. The central control panel is programmed to accept and transmit multiple input and output signals, to receive information and respond appropriately in powering electrical and electronic devices.</w:t>
      </w:r>
    </w:p>
    <w:p w:rsidR="005A48E2" w:rsidRPr="00C95F78" w:rsidRDefault="005A48E2" w:rsidP="00BB1A5E">
      <w:pPr>
        <w:spacing w:after="0" w:line="240" w:lineRule="auto"/>
        <w:contextualSpacing/>
        <w:jc w:val="both"/>
      </w:pPr>
    </w:p>
    <w:p w:rsidR="005A48E2" w:rsidRPr="00C95F78" w:rsidRDefault="0000519E" w:rsidP="00BB1A5E">
      <w:pPr>
        <w:pStyle w:val="ListParagraph"/>
        <w:spacing w:after="0" w:line="240" w:lineRule="auto"/>
        <w:ind w:left="0"/>
        <w:jc w:val="both"/>
      </w:pPr>
      <w:r w:rsidRPr="00C95F78">
        <w:rPr>
          <w:b/>
        </w:rPr>
        <w:t>Automation</w:t>
      </w:r>
      <w:r w:rsidR="003A27B2" w:rsidRPr="00C95F78">
        <w:rPr>
          <w:b/>
        </w:rPr>
        <w:t>:</w:t>
      </w:r>
      <w:r w:rsidRPr="00C95F78">
        <w:t xml:space="preserve"> </w:t>
      </w:r>
      <w:r w:rsidR="003A27B2" w:rsidRPr="00C95F78">
        <w:t>This may include</w:t>
      </w:r>
      <w:r w:rsidRPr="00C95F78">
        <w:t xml:space="preserve"> single-button operations for common functions such as cooking, watching television, or taking a bath or shower. The button may be wall mounted (a large switch) or operated by a remote control. Other means of activating automated routines, such as voice commands, are also possible. </w:t>
      </w:r>
    </w:p>
    <w:p w:rsidR="005A48E2" w:rsidRPr="00C95F78" w:rsidRDefault="005A48E2" w:rsidP="00BB1A5E">
      <w:pPr>
        <w:pStyle w:val="ListParagraph"/>
        <w:spacing w:after="0" w:line="240" w:lineRule="auto"/>
        <w:ind w:left="0"/>
        <w:jc w:val="both"/>
      </w:pPr>
    </w:p>
    <w:p w:rsidR="005A48E2" w:rsidRPr="00C95F78" w:rsidRDefault="0000519E" w:rsidP="00BB1A5E">
      <w:pPr>
        <w:pStyle w:val="ListParagraph"/>
        <w:spacing w:after="0" w:line="240" w:lineRule="auto"/>
        <w:ind w:left="0"/>
        <w:jc w:val="both"/>
      </w:pPr>
      <w:r w:rsidRPr="00C95F78">
        <w:rPr>
          <w:b/>
        </w:rPr>
        <w:t>Sensors</w:t>
      </w:r>
      <w:r w:rsidR="003A27B2" w:rsidRPr="00C95F78">
        <w:rPr>
          <w:b/>
        </w:rPr>
        <w:t xml:space="preserve">: </w:t>
      </w:r>
      <w:r w:rsidR="003A27B2" w:rsidRPr="00C95F78">
        <w:t>The smart ageing home will be rich in sensors that, in some cases, will be used to operate automated functions.</w:t>
      </w:r>
      <w:r w:rsidRPr="00C95F78">
        <w:t xml:space="preserve"> Movement senso</w:t>
      </w:r>
      <w:r w:rsidR="003A27B2" w:rsidRPr="00C95F78">
        <w:t xml:space="preserve">rs can </w:t>
      </w:r>
      <w:r w:rsidR="00E66619" w:rsidRPr="00C95F78">
        <w:t xml:space="preserve">be </w:t>
      </w:r>
      <w:r w:rsidR="003A27B2" w:rsidRPr="00C95F78">
        <w:t>used</w:t>
      </w:r>
      <w:r w:rsidR="00B07458" w:rsidRPr="00C95F78">
        <w:t xml:space="preserve"> to</w:t>
      </w:r>
      <w:r w:rsidRPr="00C95F78">
        <w:t xml:space="preserve"> turn on lights automatically, when, for instance, going to the bathroom in the middle of night. Window sensors can alert to windows being left open at night. Sensors on a cooker can turn it out after if it is left unattended for a period of time. A CCTV camera can show who is at the front door.</w:t>
      </w:r>
    </w:p>
    <w:p w:rsidR="005A48E2" w:rsidRPr="00C95F78" w:rsidRDefault="005A48E2" w:rsidP="00BB1A5E">
      <w:pPr>
        <w:pStyle w:val="ListParagraph"/>
        <w:spacing w:after="0" w:line="240" w:lineRule="auto"/>
        <w:ind w:left="0"/>
        <w:jc w:val="both"/>
        <w:rPr>
          <w:b/>
        </w:rPr>
      </w:pPr>
    </w:p>
    <w:p w:rsidR="005A48E2" w:rsidRPr="00C95F78" w:rsidRDefault="0000519E" w:rsidP="00BB1A5E">
      <w:pPr>
        <w:pStyle w:val="ListParagraph"/>
        <w:spacing w:after="0" w:line="240" w:lineRule="auto"/>
        <w:ind w:left="0"/>
        <w:jc w:val="both"/>
      </w:pPr>
      <w:r w:rsidRPr="00C95F78">
        <w:rPr>
          <w:b/>
        </w:rPr>
        <w:t>Monitoring</w:t>
      </w:r>
      <w:r w:rsidR="00B07458" w:rsidRPr="00C95F78">
        <w:rPr>
          <w:b/>
        </w:rPr>
        <w:t xml:space="preserve">: </w:t>
      </w:r>
      <w:r w:rsidR="00B07458" w:rsidRPr="00C95F78">
        <w:t>This is an extension of sensoring. Monitoring can be used, for example, to relay</w:t>
      </w:r>
      <w:r w:rsidRPr="00C95F78">
        <w:t xml:space="preserve"> information to outside sources. Personal health monitoring systems can range from alarm buttons t</w:t>
      </w:r>
      <w:r w:rsidR="00B07458" w:rsidRPr="00C95F78">
        <w:t>o more complex health systems</w:t>
      </w:r>
      <w:r w:rsidRPr="00C95F78">
        <w:t>.</w:t>
      </w:r>
    </w:p>
    <w:p w:rsidR="00872AD6" w:rsidRPr="00C95F78" w:rsidRDefault="00872AD6" w:rsidP="00BB1A5E">
      <w:pPr>
        <w:spacing w:after="0" w:line="240" w:lineRule="auto"/>
        <w:contextualSpacing/>
        <w:jc w:val="both"/>
      </w:pPr>
    </w:p>
    <w:p w:rsidR="005A48E2" w:rsidRPr="00C95F78" w:rsidRDefault="006400E4" w:rsidP="00BB1A5E">
      <w:pPr>
        <w:autoSpaceDE w:val="0"/>
        <w:autoSpaceDN w:val="0"/>
        <w:adjustRightInd w:val="0"/>
        <w:spacing w:after="0" w:line="240" w:lineRule="auto"/>
        <w:contextualSpacing/>
        <w:jc w:val="both"/>
        <w:rPr>
          <w:b/>
          <w:color w:val="365F91" w:themeColor="accent1" w:themeShade="BF"/>
          <w:sz w:val="24"/>
          <w:szCs w:val="24"/>
        </w:rPr>
      </w:pPr>
      <w:r w:rsidRPr="00C95F78">
        <w:rPr>
          <w:b/>
          <w:color w:val="365F91" w:themeColor="accent1" w:themeShade="BF"/>
          <w:sz w:val="24"/>
          <w:szCs w:val="24"/>
        </w:rPr>
        <w:t>Application Range of the Alternative Technical and Market Solutions</w:t>
      </w:r>
    </w:p>
    <w:p w:rsidR="005A48E2" w:rsidRPr="00C95F78" w:rsidRDefault="005A48E2" w:rsidP="00BB1A5E">
      <w:pPr>
        <w:autoSpaceDE w:val="0"/>
        <w:autoSpaceDN w:val="0"/>
        <w:adjustRightInd w:val="0"/>
        <w:spacing w:after="0" w:line="240" w:lineRule="auto"/>
        <w:contextualSpacing/>
        <w:jc w:val="both"/>
        <w:rPr>
          <w:szCs w:val="20"/>
        </w:rPr>
      </w:pPr>
    </w:p>
    <w:p w:rsidR="005A48E2" w:rsidRPr="00C95F78" w:rsidRDefault="006400E4" w:rsidP="00BB1A5E">
      <w:pPr>
        <w:spacing w:after="0" w:line="240" w:lineRule="auto"/>
        <w:contextualSpacing/>
        <w:jc w:val="both"/>
        <w:rPr>
          <w:szCs w:val="20"/>
        </w:rPr>
      </w:pPr>
      <w:r w:rsidRPr="00C95F78">
        <w:rPr>
          <w:szCs w:val="20"/>
        </w:rPr>
        <w:t xml:space="preserve">In the above analysis we cover a wide range of market areas and specific opportunities driven mainly by environmental concerns, the requirement for increased electrical functionality and safety, and by changing demographics. The penetration of each element, such as the integration of geothermal heating systems in the home, has its own specific dynamic. </w:t>
      </w:r>
    </w:p>
    <w:p w:rsidR="005A48E2" w:rsidRPr="00C95F78" w:rsidRDefault="005A48E2" w:rsidP="00BB1A5E">
      <w:pPr>
        <w:spacing w:after="0" w:line="240" w:lineRule="auto"/>
        <w:contextualSpacing/>
        <w:jc w:val="both"/>
        <w:rPr>
          <w:szCs w:val="20"/>
        </w:rPr>
      </w:pPr>
    </w:p>
    <w:p w:rsidR="008712A7" w:rsidRPr="00C95F78" w:rsidRDefault="006A065D" w:rsidP="00BB1A5E">
      <w:pPr>
        <w:spacing w:after="0" w:line="240" w:lineRule="auto"/>
        <w:contextualSpacing/>
        <w:jc w:val="both"/>
        <w:rPr>
          <w:szCs w:val="20"/>
        </w:rPr>
      </w:pPr>
      <w:r w:rsidRPr="00C95F78">
        <w:rPr>
          <w:szCs w:val="20"/>
        </w:rPr>
        <w:t xml:space="preserve">Over-riding the individual characteristics of each market segment, however, the details </w:t>
      </w:r>
      <w:r w:rsidR="008712A7" w:rsidRPr="00C95F78">
        <w:rPr>
          <w:szCs w:val="20"/>
        </w:rPr>
        <w:t>of government legislation, consumer awareness all financial cost all impact on the application range of each technical solution.</w:t>
      </w:r>
    </w:p>
    <w:p w:rsidR="008712A7" w:rsidRPr="00C95F78" w:rsidRDefault="008712A7" w:rsidP="00BB1A5E">
      <w:pPr>
        <w:spacing w:after="0" w:line="240" w:lineRule="auto"/>
        <w:contextualSpacing/>
        <w:jc w:val="both"/>
        <w:rPr>
          <w:szCs w:val="20"/>
        </w:rPr>
      </w:pPr>
    </w:p>
    <w:p w:rsidR="005A48E2" w:rsidRPr="00C95F78" w:rsidRDefault="008712A7" w:rsidP="00BB1A5E">
      <w:pPr>
        <w:spacing w:after="0" w:line="240" w:lineRule="auto"/>
        <w:contextualSpacing/>
        <w:jc w:val="both"/>
      </w:pPr>
      <w:r w:rsidRPr="00C95F78">
        <w:t>The</w:t>
      </w:r>
      <w:r w:rsidR="006400E4" w:rsidRPr="00C95F78">
        <w:t xml:space="preserve"> high level solutions identified</w:t>
      </w:r>
      <w:r w:rsidRPr="00C95F78">
        <w:t xml:space="preserve"> here</w:t>
      </w:r>
      <w:r w:rsidR="006400E4" w:rsidRPr="00C95F78">
        <w:t xml:space="preserve">, such as the Zero Emissions Building or the </w:t>
      </w:r>
      <w:r w:rsidR="004D728D" w:rsidRPr="00C95F78">
        <w:t>home wired to integrated system standard, is expensive. The penetration of such solutions in full is likely to be relatively small, and limited to more affluent countries. The installation of elements of the solutions described above, however, is likely to be much broader. In the following forecasts, we take into account both full and partial installation of the alternative options for premises.</w:t>
      </w:r>
    </w:p>
    <w:p w:rsidR="005A48E2" w:rsidRPr="00C95F78" w:rsidRDefault="005A48E2" w:rsidP="00BB1A5E">
      <w:pPr>
        <w:spacing w:after="0" w:line="240" w:lineRule="auto"/>
        <w:contextualSpacing/>
        <w:jc w:val="both"/>
      </w:pPr>
    </w:p>
    <w:p w:rsidR="005A48E2" w:rsidRPr="008A6438" w:rsidRDefault="00B07458"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189" w:name="_Toc263688617"/>
      <w:r w:rsidRPr="008A6438">
        <w:rPr>
          <w:rFonts w:asciiTheme="minorHAnsi" w:hAnsiTheme="minorHAnsi"/>
          <w:color w:val="365F91" w:themeColor="accent1" w:themeShade="BF"/>
          <w:sz w:val="26"/>
          <w:szCs w:val="26"/>
        </w:rPr>
        <w:t>Market Forecasts by Sector</w:t>
      </w:r>
      <w:bookmarkEnd w:id="189"/>
    </w:p>
    <w:p w:rsidR="005A48E2" w:rsidRPr="00C95F78" w:rsidRDefault="005A48E2" w:rsidP="00BB1A5E">
      <w:pPr>
        <w:spacing w:after="0" w:line="240" w:lineRule="auto"/>
        <w:contextualSpacing/>
        <w:jc w:val="both"/>
      </w:pPr>
    </w:p>
    <w:p w:rsidR="005A48E2" w:rsidRPr="00C95F78" w:rsidRDefault="00B07458"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Forecast Smart Ageing Market</w:t>
      </w:r>
    </w:p>
    <w:p w:rsidR="005A48E2" w:rsidRPr="00C95F78" w:rsidRDefault="005A48E2" w:rsidP="00BB1A5E">
      <w:pPr>
        <w:spacing w:after="0" w:line="240" w:lineRule="auto"/>
        <w:contextualSpacing/>
        <w:jc w:val="both"/>
      </w:pPr>
    </w:p>
    <w:p w:rsidR="005A48E2" w:rsidRPr="00C95F78" w:rsidRDefault="005C0157" w:rsidP="00BB1A5E">
      <w:pPr>
        <w:spacing w:after="0" w:line="240" w:lineRule="auto"/>
        <w:contextualSpacing/>
        <w:jc w:val="both"/>
      </w:pPr>
      <w:r w:rsidRPr="00C95F78">
        <w:t>The size of the smart ageing market depends on two things. Firstly, it depends on the number of elderly people in society. Secondly, it depends on the number of premises adapted for smart ageing. In this Section, we look just at the size of the elderly population.</w:t>
      </w:r>
      <w:r w:rsidR="000375F7" w:rsidRPr="00C95F78">
        <w:t xml:space="preserve"> </w:t>
      </w:r>
    </w:p>
    <w:p w:rsidR="005A48E2" w:rsidRPr="00C95F78" w:rsidRDefault="005A48E2" w:rsidP="00BB1A5E">
      <w:pPr>
        <w:spacing w:after="0" w:line="240" w:lineRule="auto"/>
        <w:contextualSpacing/>
        <w:jc w:val="both"/>
      </w:pPr>
    </w:p>
    <w:p w:rsidR="005A48E2" w:rsidRPr="00C95F78" w:rsidRDefault="004B5F31" w:rsidP="00BB1A5E">
      <w:pPr>
        <w:spacing w:after="0" w:line="240" w:lineRule="auto"/>
        <w:contextualSpacing/>
        <w:jc w:val="both"/>
      </w:pPr>
      <w:r w:rsidRPr="00C95F78">
        <w:t xml:space="preserve">As indicated above, adaptation of premises for smart ageing can take many forms. While it is possible to define the structure and content of a fully adapted premise, many may be partial systems. In the analysis of the impact on copper below, therefore, we look at </w:t>
      </w:r>
      <w:r w:rsidR="00BF4CCA" w:rsidRPr="00C95F78">
        <w:t>average rates of incremental copper use rather than the number of fully adapted homes that this would imply.</w:t>
      </w:r>
    </w:p>
    <w:p w:rsidR="005A48E2" w:rsidRPr="00C95F78" w:rsidRDefault="005A48E2" w:rsidP="00BB1A5E">
      <w:pPr>
        <w:spacing w:after="0" w:line="240" w:lineRule="auto"/>
        <w:contextualSpacing/>
        <w:jc w:val="both"/>
      </w:pPr>
    </w:p>
    <w:p w:rsidR="005A48E2" w:rsidRPr="00C95F78" w:rsidRDefault="005C0157" w:rsidP="00BB1A5E">
      <w:pPr>
        <w:spacing w:after="0" w:line="240" w:lineRule="auto"/>
        <w:contextualSpacing/>
        <w:jc w:val="both"/>
      </w:pPr>
      <w:r w:rsidRPr="00C95F78">
        <w:t xml:space="preserve">We base our ageing population forecasts on UN data, and that provided by the EU. In </w:t>
      </w:r>
      <w:r w:rsidR="003C7AEB">
        <w:fldChar w:fldCharType="begin"/>
      </w:r>
      <w:r w:rsidR="003C7AEB">
        <w:instrText xml:space="preserve"> REF _Ref262902945 \h  \* MERGEFORMAT </w:instrText>
      </w:r>
      <w:r w:rsidR="003C7AEB">
        <w:fldChar w:fldCharType="separate"/>
      </w:r>
      <w:r w:rsidR="0005759A" w:rsidRPr="0005759A">
        <w:t xml:space="preserve">Figure </w:t>
      </w:r>
      <w:r w:rsidR="0005759A" w:rsidRPr="0005759A">
        <w:rPr>
          <w:noProof/>
        </w:rPr>
        <w:t>96</w:t>
      </w:r>
      <w:r w:rsidR="003C7AEB">
        <w:fldChar w:fldCharType="end"/>
      </w:r>
      <w:r w:rsidRPr="00C95F78">
        <w:t xml:space="preserve"> we show the percentage of the population over 65 between 2008 and 2020. In </w:t>
      </w:r>
      <w:r w:rsidR="003C7AEB">
        <w:fldChar w:fldCharType="begin"/>
      </w:r>
      <w:r w:rsidR="003C7AEB">
        <w:instrText xml:space="preserve"> REF _Ref262903050 \h  \* MERGEFORMAT </w:instrText>
      </w:r>
      <w:r w:rsidR="003C7AEB">
        <w:fldChar w:fldCharType="separate"/>
      </w:r>
      <w:r w:rsidR="0005759A" w:rsidRPr="0005759A">
        <w:t xml:space="preserve">Figure </w:t>
      </w:r>
      <w:r w:rsidR="0005759A" w:rsidRPr="0005759A">
        <w:rPr>
          <w:noProof/>
        </w:rPr>
        <w:t>97</w:t>
      </w:r>
      <w:r w:rsidR="003C7AEB">
        <w:fldChar w:fldCharType="end"/>
      </w:r>
      <w:r w:rsidRPr="00C95F78">
        <w:t xml:space="preserve"> we show the size of the ageing population, while in </w:t>
      </w:r>
      <w:r w:rsidR="003C7AEB">
        <w:fldChar w:fldCharType="begin"/>
      </w:r>
      <w:r w:rsidR="003C7AEB">
        <w:instrText xml:space="preserve"> REF _Ref262903099 \h  \* MERGEFORMAT </w:instrText>
      </w:r>
      <w:r w:rsidR="003C7AEB">
        <w:fldChar w:fldCharType="separate"/>
      </w:r>
      <w:r w:rsidR="0005759A" w:rsidRPr="0005759A">
        <w:t xml:space="preserve">Figure </w:t>
      </w:r>
      <w:r w:rsidR="0005759A" w:rsidRPr="0005759A">
        <w:rPr>
          <w:noProof/>
        </w:rPr>
        <w:t>98</w:t>
      </w:r>
      <w:r w:rsidR="003C7AEB">
        <w:fldChar w:fldCharType="end"/>
      </w:r>
      <w:r w:rsidRPr="00C95F78">
        <w:t xml:space="preserve"> we show the annual increase in ageing population size.</w:t>
      </w:r>
    </w:p>
    <w:p w:rsidR="005A48E2" w:rsidRPr="00C95F78" w:rsidRDefault="005A48E2" w:rsidP="00BB1A5E">
      <w:pPr>
        <w:spacing w:after="0" w:line="240" w:lineRule="auto"/>
        <w:contextualSpacing/>
        <w:jc w:val="both"/>
      </w:pPr>
    </w:p>
    <w:p w:rsidR="005A48E2" w:rsidRPr="00C95F78" w:rsidRDefault="00C47460" w:rsidP="00BB1A5E">
      <w:pPr>
        <w:spacing w:after="0" w:line="240" w:lineRule="auto"/>
        <w:contextualSpacing/>
        <w:jc w:val="both"/>
      </w:pPr>
      <w:r w:rsidRPr="00C95F78">
        <w:t>By looking at these tables, it is clear that the number of elderly people is rising, and at an accelerating rate. The annual addition to the ageing population is forecast to grow from 14.0 million worldwide in 2010 to 21.5 million in 2020. In Europe, the figures are 1.5 million for 2010 and 2.0 million for 2020.</w:t>
      </w:r>
    </w:p>
    <w:p w:rsidR="005A48E2" w:rsidRPr="00C95F78" w:rsidRDefault="005A48E2" w:rsidP="00BB1A5E">
      <w:pPr>
        <w:spacing w:after="0" w:line="240" w:lineRule="auto"/>
        <w:contextualSpacing/>
        <w:jc w:val="both"/>
      </w:pPr>
    </w:p>
    <w:p w:rsidR="005A48E2" w:rsidRPr="00C95F78" w:rsidRDefault="00C47460" w:rsidP="00BB1A5E">
      <w:pPr>
        <w:spacing w:after="0" w:line="240" w:lineRule="auto"/>
        <w:contextualSpacing/>
        <w:jc w:val="both"/>
      </w:pPr>
      <w:r w:rsidRPr="00C95F78">
        <w:t>In comparison with many other parts of the world, with 86 million people aged 65 and above, the ageing population is already large in comparison with other world regions. While the rate of growth is less than the average, the size of the ageing population in Europe is forecast to grow to 103 million in 2020.</w:t>
      </w:r>
    </w:p>
    <w:p w:rsidR="005A48E2" w:rsidRPr="00C95F78" w:rsidRDefault="005A48E2" w:rsidP="00BB1A5E">
      <w:pPr>
        <w:spacing w:after="0" w:line="240" w:lineRule="auto"/>
        <w:contextualSpacing/>
        <w:jc w:val="both"/>
      </w:pPr>
    </w:p>
    <w:p w:rsidR="005A48E2" w:rsidRPr="00C95F78" w:rsidRDefault="00C47460" w:rsidP="00BB1A5E">
      <w:pPr>
        <w:spacing w:after="0" w:line="240" w:lineRule="auto"/>
        <w:contextualSpacing/>
        <w:jc w:val="both"/>
      </w:pPr>
      <w:r w:rsidRPr="00C95F78">
        <w:t xml:space="preserve">While the potential market for smart ageing adapted residences is huge, at present only a handful are reconfigured for this purpose. The growth of this market, therefore, depends on the degree to </w:t>
      </w:r>
      <w:r w:rsidR="000375F7" w:rsidRPr="00C95F78">
        <w:t>penetration of smart ageing systems rather than the underlying potential.</w:t>
      </w:r>
      <w:r w:rsidRPr="00C95F78">
        <w:t xml:space="preserve"> </w:t>
      </w:r>
    </w:p>
    <w:p w:rsidR="005A48E2" w:rsidRPr="00C95F78" w:rsidRDefault="005A48E2" w:rsidP="00BB1A5E">
      <w:pPr>
        <w:spacing w:after="0" w:line="240" w:lineRule="auto"/>
        <w:contextualSpacing/>
        <w:jc w:val="both"/>
      </w:pPr>
    </w:p>
    <w:p w:rsidR="005A48E2" w:rsidRPr="00C95F78" w:rsidRDefault="009E0F2F"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 xml:space="preserve">Forecast Enhanced Wiring and </w:t>
      </w:r>
      <w:r w:rsidR="000375F7" w:rsidRPr="00C95F78">
        <w:rPr>
          <w:b/>
          <w:color w:val="365F91" w:themeColor="accent1" w:themeShade="BF"/>
          <w:sz w:val="24"/>
          <w:szCs w:val="24"/>
        </w:rPr>
        <w:t>Green Technologies Markets</w:t>
      </w:r>
    </w:p>
    <w:p w:rsidR="005A48E2" w:rsidRPr="00C95F78" w:rsidRDefault="005A48E2" w:rsidP="00BB1A5E">
      <w:pPr>
        <w:spacing w:after="0" w:line="240" w:lineRule="auto"/>
        <w:contextualSpacing/>
        <w:jc w:val="both"/>
      </w:pPr>
    </w:p>
    <w:p w:rsidR="005A48E2" w:rsidRPr="00C95F78" w:rsidRDefault="00BF4CCA" w:rsidP="00BB1A5E">
      <w:pPr>
        <w:spacing w:after="0" w:line="240" w:lineRule="auto"/>
        <w:contextualSpacing/>
        <w:jc w:val="both"/>
      </w:pPr>
      <w:r w:rsidRPr="00C95F78">
        <w:t>The size of the enhanced wiring and green technologies markets depends on the size and growth of the housing stock, and then the penetration of these technologies.</w:t>
      </w:r>
      <w:r w:rsidR="00F9547D" w:rsidRPr="00C95F78">
        <w:t xml:space="preserve"> </w:t>
      </w:r>
      <w:r w:rsidRPr="00C95F78">
        <w:t xml:space="preserve">In this Section, we look just at the size and growth of the housing stock. </w:t>
      </w:r>
    </w:p>
    <w:p w:rsidR="005A48E2" w:rsidRPr="00C95F78" w:rsidRDefault="005A48E2" w:rsidP="00BB1A5E">
      <w:pPr>
        <w:spacing w:after="0" w:line="240" w:lineRule="auto"/>
        <w:contextualSpacing/>
        <w:jc w:val="both"/>
      </w:pPr>
    </w:p>
    <w:p w:rsidR="005A48E2" w:rsidRPr="00C95F78" w:rsidRDefault="00BF4CCA" w:rsidP="00BB1A5E">
      <w:pPr>
        <w:spacing w:after="0" w:line="240" w:lineRule="auto"/>
        <w:contextualSpacing/>
        <w:jc w:val="both"/>
      </w:pPr>
      <w:r w:rsidRPr="00C95F78">
        <w:t>As for smart ageing, the adaptation of premises to accommodate these technologies can take many forms. In the analysis of the impact on copper below, therefore, we look at average rates of incremental copper use overall and in specific market segments rather than specifying the number of fully adapted homes that this would imply.</w:t>
      </w:r>
    </w:p>
    <w:p w:rsidR="005A48E2" w:rsidRPr="00C95F78" w:rsidRDefault="005A48E2" w:rsidP="00BB1A5E">
      <w:pPr>
        <w:spacing w:after="0" w:line="240" w:lineRule="auto"/>
        <w:contextualSpacing/>
        <w:jc w:val="both"/>
      </w:pPr>
    </w:p>
    <w:p w:rsidR="005A48E2" w:rsidRPr="00C95F78" w:rsidRDefault="00BF4CCA" w:rsidP="00621010">
      <w:pPr>
        <w:spacing w:after="0" w:line="240" w:lineRule="auto"/>
        <w:contextualSpacing/>
        <w:jc w:val="both"/>
      </w:pPr>
      <w:r w:rsidRPr="00C95F78">
        <w:t xml:space="preserve">Accurate construction figures are notoriously difficult to compile. Using various sources, we have attempted to identify the dwellings in place and the annual rate of installation by both numbers and floor space. The latter is useful, as the </w:t>
      </w:r>
      <w:r w:rsidR="00771664" w:rsidRPr="00C95F78">
        <w:t xml:space="preserve">amount of electrical installation tends to be proportional to </w:t>
      </w:r>
      <w:r w:rsidR="009E0F2F" w:rsidRPr="00C95F78">
        <w:rPr>
          <w:rFonts w:eastAsia="Calibri" w:cs="Times New Roman"/>
          <w:szCs w:val="20"/>
        </w:rPr>
        <w:br w:type="page"/>
      </w:r>
    </w:p>
    <w:p w:rsidR="005A48E2" w:rsidRPr="00C95F78" w:rsidRDefault="009E0F2F" w:rsidP="00621010">
      <w:pPr>
        <w:pStyle w:val="Caption"/>
        <w:contextualSpacing/>
        <w:jc w:val="center"/>
        <w:rPr>
          <w:sz w:val="28"/>
          <w:szCs w:val="28"/>
        </w:rPr>
      </w:pPr>
      <w:bookmarkStart w:id="190" w:name="_Ref262902945"/>
      <w:bookmarkStart w:id="191" w:name="_Toc26367175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96</w:t>
      </w:r>
      <w:r w:rsidR="00D50FDC" w:rsidRPr="00C95F78">
        <w:rPr>
          <w:sz w:val="28"/>
          <w:szCs w:val="28"/>
        </w:rPr>
        <w:fldChar w:fldCharType="end"/>
      </w:r>
      <w:bookmarkEnd w:id="190"/>
      <w:r w:rsidRPr="00C95F78">
        <w:rPr>
          <w:sz w:val="28"/>
          <w:szCs w:val="28"/>
        </w:rPr>
        <w:t xml:space="preserve">: </w:t>
      </w:r>
      <w:r w:rsidR="005C0157" w:rsidRPr="00C95F78">
        <w:rPr>
          <w:sz w:val="28"/>
          <w:szCs w:val="28"/>
        </w:rPr>
        <w:t xml:space="preserve">Forecast </w:t>
      </w:r>
      <w:r w:rsidRPr="00C95F78">
        <w:rPr>
          <w:sz w:val="28"/>
          <w:szCs w:val="28"/>
        </w:rPr>
        <w:t>Percentage of Population Over 65</w:t>
      </w:r>
      <w:bookmarkEnd w:id="191"/>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204453"/>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srcRect/>
                    <a:stretch>
                      <a:fillRect/>
                    </a:stretch>
                  </pic:blipFill>
                  <pic:spPr bwMode="auto">
                    <a:xfrm>
                      <a:off x="0" y="0"/>
                      <a:ext cx="5831840" cy="2204453"/>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9E0F2F" w:rsidP="00621010">
      <w:pPr>
        <w:pStyle w:val="Caption"/>
        <w:contextualSpacing/>
        <w:jc w:val="center"/>
        <w:rPr>
          <w:sz w:val="28"/>
          <w:szCs w:val="28"/>
        </w:rPr>
      </w:pPr>
      <w:bookmarkStart w:id="192" w:name="_Ref262903050"/>
      <w:bookmarkStart w:id="193" w:name="_Toc26367175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97</w:t>
      </w:r>
      <w:r w:rsidR="00D50FDC" w:rsidRPr="00C95F78">
        <w:rPr>
          <w:sz w:val="28"/>
          <w:szCs w:val="28"/>
        </w:rPr>
        <w:fldChar w:fldCharType="end"/>
      </w:r>
      <w:bookmarkEnd w:id="192"/>
      <w:r w:rsidRPr="00C95F78">
        <w:rPr>
          <w:sz w:val="28"/>
          <w:szCs w:val="28"/>
        </w:rPr>
        <w:t>: Population Over 65 Forecast (million)</w:t>
      </w:r>
      <w:bookmarkEnd w:id="193"/>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179612"/>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9E0F2F" w:rsidP="00621010">
      <w:pPr>
        <w:pStyle w:val="Caption"/>
        <w:contextualSpacing/>
        <w:jc w:val="center"/>
        <w:rPr>
          <w:sz w:val="28"/>
          <w:szCs w:val="28"/>
        </w:rPr>
      </w:pPr>
      <w:bookmarkStart w:id="194" w:name="_Ref262903099"/>
      <w:bookmarkStart w:id="195" w:name="_Toc26367175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98</w:t>
      </w:r>
      <w:r w:rsidR="00D50FDC" w:rsidRPr="00C95F78">
        <w:rPr>
          <w:sz w:val="28"/>
          <w:szCs w:val="28"/>
        </w:rPr>
        <w:fldChar w:fldCharType="end"/>
      </w:r>
      <w:bookmarkEnd w:id="194"/>
      <w:r w:rsidRPr="00C95F78">
        <w:rPr>
          <w:sz w:val="28"/>
          <w:szCs w:val="28"/>
        </w:rPr>
        <w:t>: Increase in Population Over 65 (million)</w:t>
      </w:r>
      <w:bookmarkEnd w:id="195"/>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179612"/>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9E0F2F" w:rsidP="00621010">
      <w:pPr>
        <w:pStyle w:val="Caption"/>
        <w:contextualSpacing/>
        <w:jc w:val="center"/>
        <w:rPr>
          <w:sz w:val="28"/>
          <w:szCs w:val="28"/>
        </w:rPr>
      </w:pPr>
      <w:r w:rsidRPr="00C95F78">
        <w:br w:type="page"/>
      </w:r>
      <w:bookmarkStart w:id="196" w:name="_Toc26367175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99</w:t>
      </w:r>
      <w:r w:rsidR="00D50FDC" w:rsidRPr="00C95F78">
        <w:rPr>
          <w:sz w:val="28"/>
          <w:szCs w:val="28"/>
        </w:rPr>
        <w:fldChar w:fldCharType="end"/>
      </w:r>
      <w:r w:rsidRPr="00C95F78">
        <w:rPr>
          <w:sz w:val="28"/>
          <w:szCs w:val="28"/>
        </w:rPr>
        <w:t>: Dwellings in Place Forecast (million)</w:t>
      </w:r>
      <w:bookmarkEnd w:id="196"/>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179612"/>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BF4CCA" w:rsidP="00621010">
      <w:pPr>
        <w:pStyle w:val="Caption"/>
        <w:contextualSpacing/>
        <w:jc w:val="center"/>
        <w:rPr>
          <w:sz w:val="28"/>
          <w:szCs w:val="28"/>
        </w:rPr>
      </w:pPr>
      <w:bookmarkStart w:id="197" w:name="_Toc26367175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100</w:t>
      </w:r>
      <w:r w:rsidR="00D50FDC" w:rsidRPr="00C95F78">
        <w:rPr>
          <w:sz w:val="28"/>
          <w:szCs w:val="28"/>
        </w:rPr>
        <w:fldChar w:fldCharType="end"/>
      </w:r>
      <w:r w:rsidRPr="00C95F78">
        <w:rPr>
          <w:sz w:val="28"/>
          <w:szCs w:val="28"/>
        </w:rPr>
        <w:t>: Residential Floor Space in Place (billion m</w:t>
      </w:r>
      <w:r w:rsidR="004308DA" w:rsidRPr="00C95F78">
        <w:rPr>
          <w:sz w:val="28"/>
          <w:szCs w:val="28"/>
          <w:vertAlign w:val="superscript"/>
        </w:rPr>
        <w:t>2</w:t>
      </w:r>
      <w:r w:rsidR="00AB7D32" w:rsidRPr="00C95F78">
        <w:rPr>
          <w:sz w:val="28"/>
          <w:szCs w:val="28"/>
        </w:rPr>
        <w:t>)</w:t>
      </w:r>
      <w:bookmarkEnd w:id="197"/>
    </w:p>
    <w:p w:rsidR="005A48E2" w:rsidRPr="00C95F78" w:rsidRDefault="00BF4CCA" w:rsidP="00BB1A5E">
      <w:pPr>
        <w:spacing w:after="0" w:line="240" w:lineRule="auto"/>
        <w:contextualSpacing/>
        <w:jc w:val="both"/>
      </w:pPr>
      <w:r w:rsidRPr="00C95F78">
        <w:rPr>
          <w:noProof/>
          <w:lang w:val="en-US"/>
        </w:rPr>
        <w:drawing>
          <wp:inline distT="0" distB="0" distL="0" distR="0">
            <wp:extent cx="5831840" cy="2179612"/>
            <wp:effectExtent l="19050" t="0" r="0" b="0"/>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9E0F2F" w:rsidP="00621010">
      <w:pPr>
        <w:pStyle w:val="Caption"/>
        <w:contextualSpacing/>
        <w:jc w:val="center"/>
        <w:rPr>
          <w:sz w:val="28"/>
          <w:szCs w:val="28"/>
        </w:rPr>
      </w:pPr>
      <w:bookmarkStart w:id="198" w:name="_Toc26367175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101</w:t>
      </w:r>
      <w:r w:rsidR="00D50FDC" w:rsidRPr="00C95F78">
        <w:rPr>
          <w:sz w:val="28"/>
          <w:szCs w:val="28"/>
        </w:rPr>
        <w:fldChar w:fldCharType="end"/>
      </w:r>
      <w:r w:rsidRPr="00C95F78">
        <w:rPr>
          <w:sz w:val="28"/>
          <w:szCs w:val="28"/>
        </w:rPr>
        <w:t>: New Residential Completions Forecast (million)</w:t>
      </w:r>
      <w:bookmarkEnd w:id="198"/>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179612"/>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9E0F2F" w:rsidP="00621010">
      <w:pPr>
        <w:pStyle w:val="Caption"/>
        <w:contextualSpacing/>
        <w:jc w:val="center"/>
        <w:rPr>
          <w:sz w:val="28"/>
          <w:szCs w:val="28"/>
        </w:rPr>
      </w:pPr>
      <w:bookmarkStart w:id="199" w:name="_Toc26367175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102</w:t>
      </w:r>
      <w:r w:rsidR="00D50FDC" w:rsidRPr="00C95F78">
        <w:rPr>
          <w:sz w:val="28"/>
          <w:szCs w:val="28"/>
        </w:rPr>
        <w:fldChar w:fldCharType="end"/>
      </w:r>
      <w:r w:rsidRPr="00C95F78">
        <w:rPr>
          <w:sz w:val="28"/>
          <w:szCs w:val="28"/>
        </w:rPr>
        <w:t xml:space="preserve">: New Residential Floor Space (million </w:t>
      </w:r>
      <w:r w:rsidR="00AB7D32" w:rsidRPr="00C95F78">
        <w:rPr>
          <w:sz w:val="28"/>
          <w:szCs w:val="28"/>
        </w:rPr>
        <w:t>m</w:t>
      </w:r>
      <w:r w:rsidR="004308DA" w:rsidRPr="00C95F78">
        <w:rPr>
          <w:sz w:val="28"/>
          <w:szCs w:val="28"/>
          <w:vertAlign w:val="superscript"/>
        </w:rPr>
        <w:t>2</w:t>
      </w:r>
      <w:r w:rsidRPr="00C95F78">
        <w:rPr>
          <w:sz w:val="28"/>
          <w:szCs w:val="28"/>
        </w:rPr>
        <w:t>)</w:t>
      </w:r>
      <w:bookmarkEnd w:id="199"/>
    </w:p>
    <w:p w:rsidR="005A48E2" w:rsidRPr="00C95F78" w:rsidRDefault="009E0F2F" w:rsidP="00BB1A5E">
      <w:pPr>
        <w:spacing w:after="0" w:line="240" w:lineRule="auto"/>
        <w:contextualSpacing/>
        <w:jc w:val="both"/>
      </w:pPr>
      <w:r w:rsidRPr="00C95F78">
        <w:rPr>
          <w:noProof/>
          <w:lang w:val="en-US"/>
        </w:rPr>
        <w:drawing>
          <wp:inline distT="0" distB="0" distL="0" distR="0">
            <wp:extent cx="5831840" cy="2179612"/>
            <wp:effectExtent l="1905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Default="005A48E2" w:rsidP="00BB1A5E">
      <w:pPr>
        <w:spacing w:after="0" w:line="240" w:lineRule="auto"/>
        <w:contextualSpacing/>
        <w:jc w:val="both"/>
      </w:pPr>
    </w:p>
    <w:p w:rsidR="00A86C48" w:rsidRDefault="00A86C48" w:rsidP="00BB1A5E">
      <w:pPr>
        <w:spacing w:after="0" w:line="240" w:lineRule="auto"/>
        <w:contextualSpacing/>
        <w:jc w:val="both"/>
      </w:pPr>
      <w:r w:rsidRPr="00C95F78">
        <w:t>floor space rather to the absolute number of dwellings. Forecasts of both are based on population growth and recognised trends in the rate of new household formation and floor space per person.</w:t>
      </w:r>
    </w:p>
    <w:p w:rsidR="00A86C48" w:rsidRPr="00C95F78" w:rsidRDefault="00A86C48" w:rsidP="00BB1A5E">
      <w:pPr>
        <w:spacing w:after="0" w:line="240" w:lineRule="auto"/>
        <w:contextualSpacing/>
        <w:jc w:val="both"/>
      </w:pPr>
    </w:p>
    <w:p w:rsidR="008D0E49" w:rsidRPr="00C95F78" w:rsidRDefault="008D0E49" w:rsidP="00BB1A5E">
      <w:pPr>
        <w:spacing w:after="0" w:line="240" w:lineRule="auto"/>
        <w:contextualSpacing/>
        <w:jc w:val="both"/>
      </w:pPr>
      <w:r w:rsidRPr="00C95F78">
        <w:t xml:space="preserve">The tables show as that the amount of floor space in place is huge; we estimate 16 billion </w:t>
      </w:r>
      <w:r w:rsidR="00BD5AFE" w:rsidRPr="00C95F78">
        <w:t>m</w:t>
      </w:r>
      <w:r w:rsidR="004308DA" w:rsidRPr="00C95F78">
        <w:rPr>
          <w:vertAlign w:val="superscript"/>
        </w:rPr>
        <w:t>2</w:t>
      </w:r>
      <w:r w:rsidRPr="00C95F78">
        <w:t xml:space="preserve"> for Europe and 150</w:t>
      </w:r>
      <w:r w:rsidR="00F34338" w:rsidRPr="00C95F78">
        <w:t xml:space="preserve"> billion</w:t>
      </w:r>
      <w:r w:rsidRPr="00C95F78">
        <w:t xml:space="preserve"> </w:t>
      </w:r>
      <w:r w:rsidR="00BD5AFE" w:rsidRPr="00C95F78">
        <w:t>m</w:t>
      </w:r>
      <w:r w:rsidR="004308DA" w:rsidRPr="00C95F78">
        <w:rPr>
          <w:vertAlign w:val="superscript"/>
        </w:rPr>
        <w:t>2</w:t>
      </w:r>
      <w:r w:rsidRPr="00C95F78">
        <w:t xml:space="preserve"> worldwide for 2010. At the same time, the rate of growth in floor space in place, and new installation is very modest: 1.3% p.a. worldwide in both cases. Growth in Europe, at 0.5% p.a., is particularly slow.</w:t>
      </w:r>
    </w:p>
    <w:p w:rsidR="005A48E2" w:rsidRPr="00C95F78" w:rsidRDefault="005A48E2" w:rsidP="00BB1A5E">
      <w:pPr>
        <w:spacing w:after="0" w:line="240" w:lineRule="auto"/>
        <w:contextualSpacing/>
        <w:jc w:val="both"/>
      </w:pPr>
    </w:p>
    <w:p w:rsidR="005A48E2" w:rsidRPr="008A6438" w:rsidRDefault="005F3C7D"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00" w:name="_Toc263688618"/>
      <w:r w:rsidRPr="008A6438">
        <w:rPr>
          <w:rFonts w:asciiTheme="minorHAnsi" w:hAnsiTheme="minorHAnsi"/>
          <w:color w:val="365F91" w:themeColor="accent1" w:themeShade="BF"/>
          <w:sz w:val="26"/>
          <w:szCs w:val="26"/>
        </w:rPr>
        <w:t>The Impact on Copper</w:t>
      </w:r>
      <w:bookmarkEnd w:id="200"/>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Enhanced Wiring Markets</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 xml:space="preserve">The alternative grades of wiring system available for residential premises are mentioned briefly in Section </w:t>
      </w:r>
      <w:r w:rsidR="003C7AEB">
        <w:fldChar w:fldCharType="begin"/>
      </w:r>
      <w:r w:rsidR="003C7AEB">
        <w:instrText xml:space="preserve"> REF _Ref262990519 \w \h  \* MERGEFORMAT </w:instrText>
      </w:r>
      <w:r w:rsidR="003C7AEB">
        <w:fldChar w:fldCharType="separate"/>
      </w:r>
      <w:r w:rsidR="0005759A">
        <w:t>4.2.2</w:t>
      </w:r>
      <w:r w:rsidR="003C7AEB">
        <w:fldChar w:fldCharType="end"/>
      </w:r>
      <w:r w:rsidRPr="00C95F78">
        <w:t xml:space="preserve"> above. Over time, it is normal for wiring standards to move up the grade spectrum. As such, the installation of denser wiring systems in itself does not create a new market. We can consider there to be a new market when improved wiring has one of the following characteristics:</w:t>
      </w:r>
    </w:p>
    <w:p w:rsidR="005A48E2" w:rsidRPr="00C95F78" w:rsidRDefault="005A48E2" w:rsidP="00BB1A5E">
      <w:pPr>
        <w:spacing w:after="0" w:line="240" w:lineRule="auto"/>
        <w:contextualSpacing/>
        <w:jc w:val="both"/>
      </w:pPr>
    </w:p>
    <w:p w:rsidR="005A48E2" w:rsidRPr="00C95F78" w:rsidRDefault="00DD1106" w:rsidP="00BB1A5E">
      <w:pPr>
        <w:pStyle w:val="ListParagraph"/>
        <w:numPr>
          <w:ilvl w:val="0"/>
          <w:numId w:val="13"/>
        </w:numPr>
        <w:spacing w:after="120" w:line="240" w:lineRule="auto"/>
        <w:ind w:left="714" w:hanging="357"/>
        <w:contextualSpacing w:val="0"/>
        <w:jc w:val="both"/>
      </w:pPr>
      <w:r w:rsidRPr="00C95F78">
        <w:t>A new driver accelerates the rate of rewiring and / or the installation of fuller wiring systems.</w:t>
      </w:r>
    </w:p>
    <w:p w:rsidR="005A48E2" w:rsidRPr="00C95F78" w:rsidRDefault="00DD1106" w:rsidP="00BB1A5E">
      <w:pPr>
        <w:pStyle w:val="ListParagraph"/>
        <w:numPr>
          <w:ilvl w:val="0"/>
          <w:numId w:val="13"/>
        </w:numPr>
        <w:spacing w:after="120" w:line="240" w:lineRule="auto"/>
        <w:ind w:left="714" w:hanging="357"/>
        <w:contextualSpacing w:val="0"/>
        <w:jc w:val="both"/>
      </w:pPr>
      <w:r w:rsidRPr="00C95F78">
        <w:t>Additional requirements of the wiring system that mean the installation of additional wire.</w:t>
      </w:r>
    </w:p>
    <w:p w:rsidR="005A48E2" w:rsidRPr="00C95F78" w:rsidRDefault="00DD1106" w:rsidP="00BB1A5E">
      <w:pPr>
        <w:pStyle w:val="ListParagraph"/>
        <w:numPr>
          <w:ilvl w:val="0"/>
          <w:numId w:val="13"/>
        </w:numPr>
        <w:spacing w:after="0" w:line="240" w:lineRule="auto"/>
        <w:jc w:val="both"/>
      </w:pPr>
      <w:r w:rsidRPr="00C95F78">
        <w:t>A particular new type of wire is introduced, which in itself can be defined as a new market.</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 xml:space="preserve">An example of point 1) is rewiring resulting from a more rigorous inspection regime. We consider the potential rewiring market created by inspection associated with the installation of the smart grid below. </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An example of point 2) is the additional internal wiring associated with the integration of local electricity generation, heat and rain capture and recovery. This is considered below. We also consider, in more detail, the impact of smart ageing.</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Particular types of wire that may be considered as new markets, for example, include various forms of environmentally friendly wiring. These are also considered below.</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rPr>
          <w:b/>
        </w:rPr>
        <w:t xml:space="preserve">The Grades of Wiring System: </w:t>
      </w:r>
      <w:r w:rsidRPr="00C95F78">
        <w:t>Before considering the new markets for denser wiring, we need to consider the grades of wiring that we find in practice. These are defined in some detail in an ECI white paper on this subject</w:t>
      </w:r>
      <w:r w:rsidRPr="00C95F78">
        <w:rPr>
          <w:rStyle w:val="FootnoteReference"/>
        </w:rPr>
        <w:footnoteReference w:id="33"/>
      </w:r>
      <w:r w:rsidRPr="00C95F78">
        <w:t>. Here, five levels of installation are recognised. Average copper consumption per 100 m</w:t>
      </w:r>
      <w:r w:rsidR="004308DA" w:rsidRPr="00C95F78">
        <w:rPr>
          <w:vertAlign w:val="superscript"/>
        </w:rPr>
        <w:t>2</w:t>
      </w:r>
      <w:r w:rsidRPr="00C95F78">
        <w:t xml:space="preserve"> for each is indicated in brackets.</w:t>
      </w:r>
    </w:p>
    <w:p w:rsidR="005A48E2" w:rsidRPr="00C95F78" w:rsidRDefault="005A48E2" w:rsidP="00BB1A5E">
      <w:pPr>
        <w:spacing w:after="0" w:line="240" w:lineRule="auto"/>
        <w:contextualSpacing/>
        <w:jc w:val="both"/>
      </w:pPr>
    </w:p>
    <w:p w:rsidR="005A48E2" w:rsidRPr="00C95F78" w:rsidRDefault="00DD1106" w:rsidP="00BB1A5E">
      <w:pPr>
        <w:pStyle w:val="ListParagraph"/>
        <w:numPr>
          <w:ilvl w:val="0"/>
          <w:numId w:val="14"/>
        </w:numPr>
        <w:spacing w:after="120" w:line="240" w:lineRule="auto"/>
        <w:ind w:hanging="357"/>
        <w:contextualSpacing w:val="0"/>
        <w:jc w:val="both"/>
        <w:rPr>
          <w:rFonts w:cs="Arial"/>
        </w:rPr>
      </w:pPr>
      <w:r w:rsidRPr="00C95F78">
        <w:rPr>
          <w:rFonts w:cs="Arial"/>
        </w:rPr>
        <w:t>Level 0: No access to electricity (0 kg)</w:t>
      </w:r>
      <w:r w:rsidR="00BD5AFE" w:rsidRPr="00C95F78">
        <w:rPr>
          <w:rFonts w:cs="Arial"/>
        </w:rPr>
        <w:t>.</w:t>
      </w:r>
    </w:p>
    <w:p w:rsidR="005A48E2" w:rsidRPr="00C95F78" w:rsidRDefault="00DD1106" w:rsidP="00BB1A5E">
      <w:pPr>
        <w:pStyle w:val="ListParagraph"/>
        <w:numPr>
          <w:ilvl w:val="0"/>
          <w:numId w:val="14"/>
        </w:numPr>
        <w:spacing w:after="120" w:line="240" w:lineRule="auto"/>
        <w:ind w:hanging="357"/>
        <w:contextualSpacing w:val="0"/>
        <w:jc w:val="both"/>
        <w:rPr>
          <w:rFonts w:cs="Arial"/>
        </w:rPr>
      </w:pPr>
      <w:r w:rsidRPr="00C95F78">
        <w:rPr>
          <w:rFonts w:cs="Arial"/>
        </w:rPr>
        <w:t>Level 1: Illegal or non-conforming access to electricity (10 kg)</w:t>
      </w:r>
      <w:r w:rsidR="00BD5AFE" w:rsidRPr="00C95F78">
        <w:rPr>
          <w:rFonts w:cs="Arial"/>
        </w:rPr>
        <w:t>.</w:t>
      </w:r>
    </w:p>
    <w:p w:rsidR="005A48E2" w:rsidRPr="00C95F78" w:rsidRDefault="00DD1106" w:rsidP="00BB1A5E">
      <w:pPr>
        <w:pStyle w:val="ListParagraph"/>
        <w:numPr>
          <w:ilvl w:val="0"/>
          <w:numId w:val="14"/>
        </w:numPr>
        <w:spacing w:after="120" w:line="240" w:lineRule="auto"/>
        <w:ind w:hanging="357"/>
        <w:contextualSpacing w:val="0"/>
        <w:jc w:val="both"/>
        <w:rPr>
          <w:rFonts w:cs="Arial"/>
        </w:rPr>
      </w:pPr>
      <w:r w:rsidRPr="00C95F78">
        <w:rPr>
          <w:rFonts w:cs="Arial"/>
        </w:rPr>
        <w:t>Level 2: Legal or conforming access to electricity – inspection of systems pre final connection (25 kg)</w:t>
      </w:r>
      <w:r w:rsidR="00BD5AFE" w:rsidRPr="00C95F78">
        <w:rPr>
          <w:rFonts w:cs="Arial"/>
        </w:rPr>
        <w:t>.</w:t>
      </w:r>
    </w:p>
    <w:p w:rsidR="005A48E2" w:rsidRPr="00C95F78" w:rsidRDefault="00DD1106" w:rsidP="00BB1A5E">
      <w:pPr>
        <w:pStyle w:val="ListParagraph"/>
        <w:numPr>
          <w:ilvl w:val="0"/>
          <w:numId w:val="14"/>
        </w:numPr>
        <w:spacing w:after="120" w:line="240" w:lineRule="auto"/>
        <w:ind w:hanging="357"/>
        <w:contextualSpacing w:val="0"/>
        <w:jc w:val="both"/>
        <w:rPr>
          <w:rFonts w:cs="Arial"/>
        </w:rPr>
      </w:pPr>
      <w:r w:rsidRPr="00C95F78">
        <w:rPr>
          <w:rFonts w:cs="Arial"/>
        </w:rPr>
        <w:t>Level 3: Legal &amp; conforming access to electricity – pre-inspection + periodic inspection regimes (30 kg)</w:t>
      </w:r>
      <w:r w:rsidR="00BD5AFE" w:rsidRPr="00C95F78">
        <w:rPr>
          <w:rFonts w:cs="Arial"/>
        </w:rPr>
        <w:t>.</w:t>
      </w:r>
    </w:p>
    <w:p w:rsidR="005A48E2" w:rsidRPr="00C95F78" w:rsidRDefault="00DD1106" w:rsidP="00BB1A5E">
      <w:pPr>
        <w:pStyle w:val="ListParagraph"/>
        <w:numPr>
          <w:ilvl w:val="0"/>
          <w:numId w:val="14"/>
        </w:numPr>
        <w:spacing w:after="120" w:line="240" w:lineRule="auto"/>
        <w:ind w:hanging="357"/>
        <w:contextualSpacing w:val="0"/>
        <w:jc w:val="both"/>
        <w:rPr>
          <w:rFonts w:cs="Arial"/>
        </w:rPr>
      </w:pPr>
      <w:r w:rsidRPr="00C95F78">
        <w:rPr>
          <w:rFonts w:cs="Arial"/>
        </w:rPr>
        <w:t>Level 4:Enhanced systems requiring power system verification to ensure safe use of increased functionality (55-70 kg):</w:t>
      </w:r>
    </w:p>
    <w:p w:rsidR="005A48E2" w:rsidRPr="00C95F78" w:rsidRDefault="00DD1106" w:rsidP="00BB1A5E">
      <w:pPr>
        <w:pStyle w:val="ListParagraph"/>
        <w:numPr>
          <w:ilvl w:val="1"/>
          <w:numId w:val="14"/>
        </w:numPr>
        <w:spacing w:after="120" w:line="240" w:lineRule="auto"/>
        <w:ind w:hanging="357"/>
        <w:contextualSpacing w:val="0"/>
        <w:jc w:val="both"/>
        <w:rPr>
          <w:rFonts w:cs="Arial"/>
        </w:rPr>
      </w:pPr>
      <w:r w:rsidRPr="00C95F78">
        <w:rPr>
          <w:rFonts w:cs="Arial"/>
        </w:rPr>
        <w:t>Comfort based on integrated systems (55 kg)</w:t>
      </w:r>
    </w:p>
    <w:p w:rsidR="005A48E2" w:rsidRPr="00C95F78" w:rsidRDefault="00DD1106" w:rsidP="00BB1A5E">
      <w:pPr>
        <w:pStyle w:val="ListParagraph"/>
        <w:numPr>
          <w:ilvl w:val="1"/>
          <w:numId w:val="14"/>
        </w:numPr>
        <w:spacing w:after="120" w:line="240" w:lineRule="auto"/>
        <w:ind w:hanging="357"/>
        <w:contextualSpacing w:val="0"/>
        <w:jc w:val="both"/>
        <w:rPr>
          <w:rFonts w:cs="Arial"/>
        </w:rPr>
      </w:pPr>
      <w:r w:rsidRPr="00C95F78">
        <w:rPr>
          <w:rFonts w:cs="Arial"/>
        </w:rPr>
        <w:t>Smart ageing based on integrated systems (55 kg)</w:t>
      </w:r>
    </w:p>
    <w:p w:rsidR="005A48E2" w:rsidRPr="00C95F78" w:rsidRDefault="00DD1106" w:rsidP="00BB1A5E">
      <w:pPr>
        <w:pStyle w:val="ListParagraph"/>
        <w:numPr>
          <w:ilvl w:val="1"/>
          <w:numId w:val="14"/>
        </w:numPr>
        <w:spacing w:after="120" w:line="240" w:lineRule="auto"/>
        <w:ind w:hanging="357"/>
        <w:contextualSpacing w:val="0"/>
        <w:jc w:val="both"/>
        <w:rPr>
          <w:rFonts w:cs="Arial"/>
        </w:rPr>
      </w:pPr>
      <w:r w:rsidRPr="00C95F78">
        <w:rPr>
          <w:rFonts w:cs="Arial"/>
        </w:rPr>
        <w:t>Tele-health based on integrated systems and inter-connectivity with health centres (70 kg)</w:t>
      </w:r>
      <w:r w:rsidR="00BD5AFE" w:rsidRPr="00C95F78">
        <w:rPr>
          <w:rFonts w:cs="Arial"/>
        </w:rPr>
        <w:t>.</w:t>
      </w:r>
    </w:p>
    <w:p w:rsidR="005A48E2" w:rsidRPr="00C95F78" w:rsidRDefault="00DD1106" w:rsidP="00BB1A5E">
      <w:pPr>
        <w:pStyle w:val="ListParagraph"/>
        <w:numPr>
          <w:ilvl w:val="0"/>
          <w:numId w:val="14"/>
        </w:numPr>
        <w:spacing w:after="0" w:line="240" w:lineRule="auto"/>
        <w:jc w:val="both"/>
        <w:rPr>
          <w:rFonts w:cs="Arial"/>
        </w:rPr>
      </w:pPr>
      <w:r w:rsidRPr="00C95F78">
        <w:rPr>
          <w:rFonts w:cs="Arial"/>
        </w:rPr>
        <w:t>Level 5: Green building based on integrated systems, energy efficiency, locally generated small power/ renewable (75 kg)</w:t>
      </w:r>
      <w:r w:rsidR="00BD5AFE" w:rsidRPr="00C95F78">
        <w:rPr>
          <w:rFonts w:cs="Arial"/>
        </w:rPr>
        <w:t>.</w:t>
      </w:r>
    </w:p>
    <w:p w:rsidR="005A48E2" w:rsidRPr="00C95F78" w:rsidRDefault="005A48E2" w:rsidP="00BB1A5E">
      <w:pPr>
        <w:spacing w:after="0" w:line="240" w:lineRule="auto"/>
        <w:jc w:val="both"/>
        <w:rPr>
          <w:rFonts w:cs="Arial"/>
        </w:rPr>
      </w:pPr>
    </w:p>
    <w:p w:rsidR="005A48E2" w:rsidRPr="00C95F78" w:rsidRDefault="00DD1106" w:rsidP="00BB1A5E">
      <w:pPr>
        <w:spacing w:after="0" w:line="240" w:lineRule="auto"/>
        <w:contextualSpacing/>
        <w:jc w:val="both"/>
      </w:pPr>
      <w:r w:rsidRPr="00C95F78">
        <w:t>Where there is a well established code in place, as in developed markets, the accepted level of wiring is fairly consistent around the 25 to 30 kg per 100 m</w:t>
      </w:r>
      <w:r w:rsidR="004308DA" w:rsidRPr="00C95F78">
        <w:rPr>
          <w:vertAlign w:val="superscript"/>
        </w:rPr>
        <w:t>2</w:t>
      </w:r>
      <w:r w:rsidRPr="00C95F78">
        <w:t xml:space="preserve"> mark. Higher average rates of copper use often apply where there is a post-connection inspection regime. This is the case despite the fact that, in most cases, even where there is post-connection inspection it tends to affect only a small proportion of properties in any one year, and not to be particularly rigorous.</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Partly because there is a lack of inspection, it is probable that a relatively high number of wiring systems in residential premises do not meet with the official standard. This being the case, regular inspection and an awareness of safety hazards has the potential to create a much larger requiring market than we have at present. Rewiring at Level 2 or Level 3 is, therefore, a major opportunity. A total rewiring would give 25-30 kg of copper per 100 m</w:t>
      </w:r>
      <w:r w:rsidR="004308DA" w:rsidRPr="00C95F78">
        <w:rPr>
          <w:vertAlign w:val="superscript"/>
        </w:rPr>
        <w:t>2</w:t>
      </w:r>
      <w:r w:rsidRPr="00C95F78">
        <w:t xml:space="preserve"> of floor space.</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Another huge opportunity exists in the potential for raising wiring density from Level 3 to Level 4 or 5. This will give 25-45 kg per 100 m</w:t>
      </w:r>
      <w:r w:rsidR="004308DA" w:rsidRPr="00C95F78">
        <w:rPr>
          <w:vertAlign w:val="superscript"/>
        </w:rPr>
        <w:t>2</w:t>
      </w:r>
      <w:r w:rsidRPr="00C95F78">
        <w:t xml:space="preserve"> extra of copper content, and can apply to new buildings or existing buildings. Enforced rewiring through tighter inspection may also be associated with an upgrade in the wiring system above Level 3 standard, thus enhancing the potential for this market.</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rPr>
          <w:b/>
        </w:rPr>
        <w:t xml:space="preserve">Incremental Rewiring and the Smart Grid: </w:t>
      </w:r>
      <w:r w:rsidRPr="00C95F78">
        <w:t>In order for the smart grid to operate, a smart meter will have to be installed in every home. A very small amount of copper is used in the meter itself. The real potential lies in rewiring associated with the introduction of the smart grid.</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 xml:space="preserve">At the time of meter installation, an electrical engineer needs to enter the property to connect the meter to the distribution box. This is to be taken as an opportunity for the utility to inspect house wiring, telling the occupier where the wiring was potentially or actually unsafe or in other ways inadequate. </w:t>
      </w:r>
      <w:r w:rsidR="005D23DF" w:rsidRPr="00C95F78">
        <w:br w:type="page"/>
      </w:r>
    </w:p>
    <w:p w:rsidR="005D23DF" w:rsidRPr="00C95F78" w:rsidRDefault="005D23DF" w:rsidP="00621010">
      <w:pPr>
        <w:pStyle w:val="Caption"/>
        <w:contextualSpacing/>
        <w:jc w:val="center"/>
        <w:rPr>
          <w:sz w:val="28"/>
          <w:szCs w:val="28"/>
        </w:rPr>
      </w:pPr>
      <w:bookmarkStart w:id="201" w:name="_Toc26367175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103</w:t>
      </w:r>
      <w:r w:rsidR="00D50FDC" w:rsidRPr="00C95F78">
        <w:rPr>
          <w:sz w:val="28"/>
          <w:szCs w:val="28"/>
        </w:rPr>
        <w:fldChar w:fldCharType="end"/>
      </w:r>
      <w:r w:rsidRPr="00C95F78">
        <w:rPr>
          <w:sz w:val="28"/>
          <w:szCs w:val="28"/>
        </w:rPr>
        <w:t>: Copper in Residential Wiring in Place Forecast (kt Cu)</w:t>
      </w:r>
      <w:bookmarkEnd w:id="201"/>
    </w:p>
    <w:p w:rsidR="005D23DF" w:rsidRPr="00C95F78" w:rsidRDefault="005D23DF" w:rsidP="00BB1A5E">
      <w:pPr>
        <w:spacing w:after="0" w:line="240" w:lineRule="auto"/>
        <w:contextualSpacing/>
        <w:jc w:val="both"/>
      </w:pPr>
      <w:r w:rsidRPr="00C95F78">
        <w:rPr>
          <w:noProof/>
          <w:lang w:val="en-US"/>
        </w:rPr>
        <w:drawing>
          <wp:inline distT="0" distB="0" distL="0" distR="0">
            <wp:extent cx="5831840" cy="2179612"/>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D23DF" w:rsidP="00621010">
      <w:pPr>
        <w:pStyle w:val="Caption"/>
        <w:contextualSpacing/>
        <w:jc w:val="center"/>
        <w:rPr>
          <w:sz w:val="28"/>
          <w:szCs w:val="28"/>
        </w:rPr>
      </w:pPr>
      <w:bookmarkStart w:id="202" w:name="_Ref262996164"/>
      <w:bookmarkStart w:id="203" w:name="_Toc26367175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104</w:t>
      </w:r>
      <w:r w:rsidR="00D50FDC" w:rsidRPr="00C95F78">
        <w:rPr>
          <w:sz w:val="28"/>
          <w:szCs w:val="28"/>
        </w:rPr>
        <w:fldChar w:fldCharType="end"/>
      </w:r>
      <w:bookmarkEnd w:id="202"/>
      <w:r w:rsidRPr="00C95F78">
        <w:rPr>
          <w:sz w:val="28"/>
          <w:szCs w:val="28"/>
        </w:rPr>
        <w:t>:</w:t>
      </w:r>
      <w:r w:rsidR="00F9547D" w:rsidRPr="00C95F78">
        <w:rPr>
          <w:sz w:val="28"/>
          <w:szCs w:val="28"/>
        </w:rPr>
        <w:t xml:space="preserve"> </w:t>
      </w:r>
      <w:r w:rsidRPr="00C95F78">
        <w:rPr>
          <w:sz w:val="28"/>
          <w:szCs w:val="28"/>
        </w:rPr>
        <w:t>Incremental Rewiring - Base Scenario Forecast (kt Cu)</w:t>
      </w:r>
      <w:bookmarkEnd w:id="203"/>
    </w:p>
    <w:p w:rsidR="005A48E2" w:rsidRPr="00C95F78" w:rsidRDefault="005D23DF" w:rsidP="00BB1A5E">
      <w:pPr>
        <w:spacing w:after="0" w:line="240" w:lineRule="auto"/>
        <w:contextualSpacing/>
        <w:jc w:val="both"/>
      </w:pPr>
      <w:r w:rsidRPr="00C95F78">
        <w:rPr>
          <w:noProof/>
          <w:lang w:val="en-US"/>
        </w:rPr>
        <w:drawing>
          <wp:inline distT="0" distB="0" distL="0" distR="0">
            <wp:extent cx="5831840" cy="2179612"/>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D23DF" w:rsidP="00621010">
      <w:pPr>
        <w:pStyle w:val="Caption"/>
        <w:contextualSpacing/>
        <w:jc w:val="center"/>
        <w:rPr>
          <w:sz w:val="28"/>
          <w:szCs w:val="28"/>
        </w:rPr>
      </w:pPr>
      <w:bookmarkStart w:id="204" w:name="_Ref262996074"/>
      <w:bookmarkStart w:id="205" w:name="_Toc26367175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105</w:t>
      </w:r>
      <w:r w:rsidR="00D50FDC" w:rsidRPr="00C95F78">
        <w:rPr>
          <w:sz w:val="28"/>
          <w:szCs w:val="28"/>
        </w:rPr>
        <w:fldChar w:fldCharType="end"/>
      </w:r>
      <w:bookmarkEnd w:id="204"/>
      <w:r w:rsidRPr="00C95F78">
        <w:rPr>
          <w:sz w:val="28"/>
          <w:szCs w:val="28"/>
        </w:rPr>
        <w:t>: Incremental Rewiring - Advanced Scenario Forecast (kt Cu)</w:t>
      </w:r>
      <w:bookmarkEnd w:id="205"/>
    </w:p>
    <w:p w:rsidR="005A48E2" w:rsidRPr="00C95F78" w:rsidRDefault="005D23DF" w:rsidP="00BB1A5E">
      <w:pPr>
        <w:spacing w:after="0" w:line="240" w:lineRule="auto"/>
        <w:contextualSpacing/>
        <w:jc w:val="both"/>
      </w:pPr>
      <w:r w:rsidRPr="00C95F78">
        <w:rPr>
          <w:noProof/>
          <w:lang w:val="en-US"/>
        </w:rPr>
        <w:drawing>
          <wp:inline distT="0" distB="0" distL="0" distR="0">
            <wp:extent cx="5831840" cy="2179612"/>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D23DF" w:rsidP="00BB1A5E">
      <w:pPr>
        <w:spacing w:line="240" w:lineRule="auto"/>
        <w:jc w:val="both"/>
      </w:pPr>
      <w:r w:rsidRPr="00C95F78">
        <w:br w:type="page"/>
      </w:r>
    </w:p>
    <w:p w:rsidR="00DD1106" w:rsidRPr="00C95F78" w:rsidRDefault="00DD1106" w:rsidP="00BB1A5E">
      <w:pPr>
        <w:spacing w:after="0" w:line="240" w:lineRule="auto"/>
        <w:contextualSpacing/>
        <w:jc w:val="both"/>
      </w:pPr>
      <w:r w:rsidRPr="00C95F78">
        <w:t>As the demands of the smart grid on the wiring system, we may expect to see follow up inspections after the initial one, creating more of a regular inspection regime than we have seen previously. We may expect such inspections to lead to an increased awareness of the hazards of old and insufficient wiring, and perhaps greater government action to enforce rewiring.</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 xml:space="preserve">Whatever the exact mechanism, we may expect the smart grid to be associated with rewiring. This is especially the case in Europe, with its ageing housing stock. With an ageing housing stock and old wiring, this could create a big market for rewiring. </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rPr>
          <w:rFonts w:eastAsia="Calibri" w:cs="Times New Roman"/>
          <w:szCs w:val="20"/>
        </w:rPr>
      </w:pPr>
      <w:r w:rsidRPr="00C95F78">
        <w:t xml:space="preserve">This could be a market that takes off quite quickly. Already, a large meter installation programme is underway in Europe. </w:t>
      </w:r>
      <w:r w:rsidRPr="00C95F78">
        <w:rPr>
          <w:rFonts w:eastAsia="Calibri" w:cs="Times New Roman"/>
          <w:szCs w:val="20"/>
        </w:rPr>
        <w:t>In Italy, Sweden and Finland, smart metering has already been adopted, or is being implemented. The largest implementation to date is in Italy, where 26 million households have been equipped with meters. Utilities in Spain, France, the United Kingdom, the Netherlands, Portugal and Ireland have committed to meter roll outs.</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D1106" w:rsidP="00BB1A5E">
      <w:pPr>
        <w:spacing w:after="0" w:line="240" w:lineRule="auto"/>
        <w:contextualSpacing/>
        <w:jc w:val="both"/>
        <w:rPr>
          <w:rFonts w:eastAsia="Calibri" w:cs="Times New Roman"/>
          <w:szCs w:val="20"/>
        </w:rPr>
      </w:pPr>
      <w:r w:rsidRPr="00C95F78">
        <w:rPr>
          <w:rFonts w:eastAsia="Calibri" w:cs="Times New Roman"/>
          <w:szCs w:val="20"/>
        </w:rPr>
        <w:t>We have forecast the advanced rewiring market associated with the grid by assuming that a certain percentage of the wiring in the existing building stock will be replaced in each year. We first of all defined an ambitious “target” level, which may be achieved by 2020. This target we define as 0.5% of all residential wiring in Europe, 40% in North America, 15% in China and 20% in the Rest of the world. The targets reflect differences in market maturity and the age of the housing stock.</w:t>
      </w:r>
    </w:p>
    <w:p w:rsidR="005A48E2" w:rsidRPr="00C95F78" w:rsidRDefault="005A48E2" w:rsidP="00BB1A5E">
      <w:pPr>
        <w:spacing w:after="0" w:line="240" w:lineRule="auto"/>
        <w:contextualSpacing/>
        <w:jc w:val="both"/>
        <w:rPr>
          <w:rFonts w:eastAsia="Calibri" w:cs="Times New Roman"/>
          <w:szCs w:val="20"/>
        </w:rPr>
      </w:pPr>
    </w:p>
    <w:p w:rsidR="00DD1106" w:rsidRPr="00C95F78" w:rsidRDefault="00DD1106" w:rsidP="00BB1A5E">
      <w:pPr>
        <w:spacing w:after="0" w:line="240" w:lineRule="auto"/>
        <w:contextualSpacing/>
        <w:jc w:val="both"/>
        <w:rPr>
          <w:rFonts w:eastAsia="Calibri" w:cs="Times New Roman"/>
        </w:rPr>
      </w:pPr>
      <w:r w:rsidRPr="00C95F78">
        <w:rPr>
          <w:rFonts w:eastAsia="Calibri" w:cs="Times New Roman"/>
        </w:rPr>
        <w:t xml:space="preserve">The target level assumptions give us an incremental rewiring forecast of globally of 120 kt in 2020, rising from 5 kt in 2010 (see </w:t>
      </w:r>
      <w:r w:rsidR="003C7AEB">
        <w:fldChar w:fldCharType="begin"/>
      </w:r>
      <w:r w:rsidR="003C7AEB">
        <w:instrText xml:space="preserve"> REF _Ref262996074 \h  \* MERGEFORMAT </w:instrText>
      </w:r>
      <w:r w:rsidR="003C7AEB">
        <w:fldChar w:fldCharType="separate"/>
      </w:r>
      <w:r w:rsidR="0005759A" w:rsidRPr="0005759A">
        <w:t xml:space="preserve">Figure </w:t>
      </w:r>
      <w:r w:rsidR="0005759A" w:rsidRPr="0005759A">
        <w:rPr>
          <w:noProof/>
        </w:rPr>
        <w:t>105</w:t>
      </w:r>
      <w:r w:rsidR="003C7AEB">
        <w:fldChar w:fldCharType="end"/>
      </w:r>
      <w:r w:rsidRPr="00C95F78">
        <w:rPr>
          <w:rFonts w:eastAsia="Calibri" w:cs="Times New Roman"/>
        </w:rPr>
        <w:t>). While it is possible that such a market may be achieved, we believe that the incremental rewiring market is likely to be much more modest in scale. Our Base Scenario (</w:t>
      </w:r>
      <w:r w:rsidR="003C7AEB">
        <w:fldChar w:fldCharType="begin"/>
      </w:r>
      <w:r w:rsidR="003C7AEB">
        <w:instrText xml:space="preserve"> REF _Ref262996164 \h  \* MERGEFORMAT </w:instrText>
      </w:r>
      <w:r w:rsidR="003C7AEB">
        <w:fldChar w:fldCharType="separate"/>
      </w:r>
      <w:r w:rsidR="0005759A" w:rsidRPr="0005759A">
        <w:t xml:space="preserve">Figure </w:t>
      </w:r>
      <w:r w:rsidR="0005759A" w:rsidRPr="0005759A">
        <w:rPr>
          <w:noProof/>
        </w:rPr>
        <w:t>104</w:t>
      </w:r>
      <w:r w:rsidR="003C7AEB">
        <w:fldChar w:fldCharType="end"/>
      </w:r>
      <w:r w:rsidRPr="00C95F78">
        <w:rPr>
          <w:rFonts w:eastAsia="Calibri" w:cs="Times New Roman"/>
        </w:rPr>
        <w:t xml:space="preserve">) shows a global market of 30 kt in 2010, of which we expect 7.7 kt to be in Europe. </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D1106" w:rsidP="00BB1A5E">
      <w:pPr>
        <w:spacing w:after="0" w:line="240" w:lineRule="auto"/>
        <w:contextualSpacing/>
        <w:jc w:val="both"/>
        <w:rPr>
          <w:rFonts w:eastAsia="Calibri" w:cs="Times New Roman"/>
          <w:szCs w:val="20"/>
        </w:rPr>
      </w:pPr>
      <w:r w:rsidRPr="00C95F78">
        <w:rPr>
          <w:rFonts w:eastAsia="Calibri" w:cs="Times New Roman"/>
          <w:szCs w:val="20"/>
        </w:rPr>
        <w:t>The incremental rewiring market is likely to consist almost entirely of energy cables, mainly of standard types.</w:t>
      </w:r>
    </w:p>
    <w:p w:rsidR="005A48E2" w:rsidRPr="00C95F78" w:rsidRDefault="005A48E2" w:rsidP="00BB1A5E">
      <w:pPr>
        <w:spacing w:after="0" w:line="240" w:lineRule="auto"/>
        <w:contextualSpacing/>
        <w:jc w:val="both"/>
        <w:rPr>
          <w:rFonts w:eastAsia="Calibri" w:cs="Times New Roman"/>
          <w:szCs w:val="20"/>
        </w:rPr>
      </w:pPr>
    </w:p>
    <w:p w:rsidR="00DD1106" w:rsidRPr="00C95F78" w:rsidRDefault="00DD1106" w:rsidP="00BB1A5E">
      <w:pPr>
        <w:spacing w:after="0" w:line="240" w:lineRule="auto"/>
        <w:contextualSpacing/>
        <w:jc w:val="both"/>
      </w:pPr>
      <w:r w:rsidRPr="00C95F78">
        <w:rPr>
          <w:b/>
        </w:rPr>
        <w:t xml:space="preserve">Incremental Wiring Associated With Green Technologies: </w:t>
      </w:r>
      <w:r w:rsidRPr="00C95F78">
        <w:t xml:space="preserve">As stated above, we may expect a gradual improvement in wiring standards over time. This cannot be regarded as a new market. While particularly clear cut in definition, however, it is possible to identify a discrete market for additional wiring associated with green technologies (ranging from solar power generation to waste heat recovery for example). </w:t>
      </w:r>
    </w:p>
    <w:p w:rsidR="005A48E2" w:rsidRPr="00C95F78" w:rsidRDefault="005A48E2" w:rsidP="00BB1A5E">
      <w:pPr>
        <w:spacing w:after="0" w:line="240" w:lineRule="auto"/>
        <w:contextualSpacing/>
        <w:jc w:val="both"/>
      </w:pPr>
    </w:p>
    <w:p w:rsidR="005A48E2" w:rsidRPr="00C95F78" w:rsidRDefault="005D23DF" w:rsidP="00BB1A5E">
      <w:pPr>
        <w:spacing w:after="0" w:line="240" w:lineRule="auto"/>
        <w:contextualSpacing/>
        <w:jc w:val="both"/>
      </w:pPr>
      <w:r w:rsidRPr="00C95F78">
        <w:t>We see installations associated with the connection of local power generation as in all cases being additional rather than a replacement for the grid-based internal wiring system. It will be unusual for local generation to provide all electricity needs for the residence. Even where this does occur, peak loading requirements and security of supply will still necessitate the external connection.</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A full “green” house, conforming to the definition applied for Level 5 wiring, would consume copper in wiring at the rate of 75 kg per 100 m</w:t>
      </w:r>
      <w:r w:rsidR="004308DA" w:rsidRPr="00C95F78">
        <w:rPr>
          <w:vertAlign w:val="superscript"/>
        </w:rPr>
        <w:t>2</w:t>
      </w:r>
      <w:r w:rsidRPr="00C95F78">
        <w:t>. Compared to the existing standard Level 3 home, this would imply an increment in wiring of 45 kg per 100 m”. Most green installation</w:t>
      </w:r>
      <w:r w:rsidR="005D4E64" w:rsidRPr="00C95F78">
        <w:t>s</w:t>
      </w:r>
      <w:r w:rsidRPr="00C95F78">
        <w:t>, however, will be partial, so the amount of additional copper will be much less on average than the ideal.</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 xml:space="preserve">In the forecasts presented below, we include only the additional internal infrastructure wiring associated with the integration of green technologies. We do not include local power generation systems (referred to in Section 3) or other green technology equipment such as pumps (referred to below). </w:t>
      </w:r>
    </w:p>
    <w:p w:rsidR="005A48E2" w:rsidRPr="006447A4" w:rsidRDefault="005A48E2" w:rsidP="006447A4">
      <w:pPr>
        <w:spacing w:after="0" w:line="240" w:lineRule="auto"/>
        <w:contextualSpacing/>
        <w:jc w:val="both"/>
      </w:pPr>
      <w:bookmarkStart w:id="206" w:name="_Ref263002250"/>
    </w:p>
    <w:p w:rsidR="005D23DF" w:rsidRPr="00C95F78" w:rsidRDefault="005D23DF" w:rsidP="00621010">
      <w:pPr>
        <w:pStyle w:val="Caption"/>
        <w:contextualSpacing/>
        <w:jc w:val="center"/>
        <w:rPr>
          <w:sz w:val="28"/>
          <w:szCs w:val="28"/>
        </w:rPr>
      </w:pPr>
      <w:bookmarkStart w:id="207" w:name="_Toc26367176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106</w:t>
      </w:r>
      <w:r w:rsidR="00D50FDC" w:rsidRPr="00C95F78">
        <w:rPr>
          <w:sz w:val="28"/>
          <w:szCs w:val="28"/>
        </w:rPr>
        <w:fldChar w:fldCharType="end"/>
      </w:r>
      <w:bookmarkEnd w:id="206"/>
      <w:r w:rsidRPr="00C95F78">
        <w:rPr>
          <w:sz w:val="28"/>
          <w:szCs w:val="28"/>
        </w:rPr>
        <w:t>: Forecast Incremental Wiring Associated With Green Technologies (kt Cu)</w:t>
      </w:r>
      <w:bookmarkEnd w:id="207"/>
    </w:p>
    <w:p w:rsidR="005D23DF" w:rsidRPr="00C95F78" w:rsidRDefault="002F0C74" w:rsidP="00BB1A5E">
      <w:pPr>
        <w:spacing w:after="0" w:line="240" w:lineRule="auto"/>
        <w:contextualSpacing/>
        <w:jc w:val="both"/>
        <w:rPr>
          <w:rFonts w:eastAsia="Calibri" w:cs="Times New Roman"/>
          <w:szCs w:val="20"/>
        </w:rPr>
      </w:pPr>
      <w:r w:rsidRPr="00C95F78">
        <w:rPr>
          <w:noProof/>
          <w:szCs w:val="20"/>
          <w:lang w:val="en-US"/>
        </w:rPr>
        <w:drawing>
          <wp:inline distT="0" distB="0" distL="0" distR="0">
            <wp:extent cx="5831840" cy="2179612"/>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5A48E2" w:rsidP="00BB1A5E">
      <w:pPr>
        <w:spacing w:after="0" w:line="240" w:lineRule="auto"/>
        <w:contextualSpacing/>
        <w:jc w:val="both"/>
        <w:rPr>
          <w:rFonts w:eastAsia="Calibri" w:cs="Times New Roman"/>
          <w:szCs w:val="20"/>
        </w:rPr>
      </w:pPr>
    </w:p>
    <w:p w:rsidR="005A48E2" w:rsidRPr="00C95F78" w:rsidRDefault="005A48E2" w:rsidP="00BB1A5E">
      <w:pPr>
        <w:spacing w:after="0" w:line="240" w:lineRule="auto"/>
        <w:contextualSpacing/>
        <w:jc w:val="both"/>
        <w:rPr>
          <w:rFonts w:eastAsia="Calibri" w:cs="Times New Roman"/>
          <w:szCs w:val="20"/>
        </w:rPr>
      </w:pPr>
    </w:p>
    <w:p w:rsidR="005A48E2" w:rsidRPr="00C95F78" w:rsidRDefault="005D23DF" w:rsidP="00BB1A5E">
      <w:pPr>
        <w:spacing w:after="0" w:line="240" w:lineRule="auto"/>
        <w:contextualSpacing/>
        <w:jc w:val="both"/>
        <w:rPr>
          <w:rFonts w:eastAsia="Calibri" w:cs="Times New Roman"/>
          <w:szCs w:val="20"/>
        </w:rPr>
      </w:pPr>
      <w:r w:rsidRPr="00C95F78">
        <w:rPr>
          <w:rFonts w:eastAsia="Calibri" w:cs="Times New Roman"/>
          <w:szCs w:val="20"/>
        </w:rPr>
        <w:t xml:space="preserve">We foresee the green technologies wiring market as one showing a steady but fairly modest growth from quite a low base. The rate of growth will depend in part on government incentives to generate energy at the premise level and to conserve resources through other green technologies, as the economics of being green are not attractive. </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D1106" w:rsidP="00BB1A5E">
      <w:pPr>
        <w:spacing w:after="0" w:line="240" w:lineRule="auto"/>
        <w:contextualSpacing/>
        <w:jc w:val="both"/>
        <w:rPr>
          <w:rFonts w:eastAsia="Calibri" w:cs="Times New Roman"/>
          <w:szCs w:val="20"/>
        </w:rPr>
      </w:pPr>
      <w:r w:rsidRPr="00C95F78">
        <w:rPr>
          <w:rFonts w:eastAsia="Calibri" w:cs="Times New Roman"/>
          <w:szCs w:val="20"/>
        </w:rPr>
        <w:t>With time, an opportunity for sale of electricity back to the utility is likely to emerge, which should greatly improve the financial benefits of self generation. We do not see this as being important within the time frame up to 2020.</w:t>
      </w:r>
    </w:p>
    <w:p w:rsidR="005A48E2" w:rsidRPr="00C95F78" w:rsidRDefault="005A48E2" w:rsidP="00BB1A5E">
      <w:pPr>
        <w:spacing w:after="0" w:line="240" w:lineRule="auto"/>
        <w:contextualSpacing/>
        <w:jc w:val="both"/>
        <w:rPr>
          <w:rFonts w:eastAsia="Calibri" w:cs="Times New Roman"/>
          <w:szCs w:val="20"/>
        </w:rPr>
      </w:pPr>
    </w:p>
    <w:p w:rsidR="00DD1106" w:rsidRPr="00F85255" w:rsidRDefault="00DD1106" w:rsidP="00BB1A5E">
      <w:pPr>
        <w:spacing w:after="0" w:line="240" w:lineRule="auto"/>
        <w:contextualSpacing/>
        <w:jc w:val="both"/>
      </w:pPr>
      <w:r w:rsidRPr="00C95F78">
        <w:rPr>
          <w:rFonts w:eastAsia="Calibri" w:cs="Times New Roman"/>
        </w:rPr>
        <w:t>The forecast in</w:t>
      </w:r>
      <w:r w:rsidR="009438A1">
        <w:rPr>
          <w:rFonts w:eastAsia="Calibri" w:cs="Times New Roman"/>
        </w:rPr>
        <w:t xml:space="preserve"> Figure 106</w:t>
      </w:r>
      <w:r w:rsidRPr="00C95F78">
        <w:rPr>
          <w:rFonts w:eastAsia="Calibri" w:cs="Times New Roman"/>
        </w:rPr>
        <w:t xml:space="preserve"> shows the total global market rising from 17 kt in 2010 to 47 kt in 2020, with Europe accounting for around one quarter of the total. Europe’s growth, from 5 kt to 9 kt, is expected to be comparatively modest.</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D1106" w:rsidP="00BB1A5E">
      <w:pPr>
        <w:spacing w:after="0" w:line="240" w:lineRule="auto"/>
        <w:contextualSpacing/>
        <w:jc w:val="both"/>
        <w:rPr>
          <w:rFonts w:eastAsia="Calibri" w:cs="Times New Roman"/>
          <w:szCs w:val="20"/>
        </w:rPr>
      </w:pPr>
      <w:r w:rsidRPr="00C95F78">
        <w:rPr>
          <w:rFonts w:eastAsia="Calibri" w:cs="Times New Roman"/>
          <w:szCs w:val="20"/>
        </w:rPr>
        <w:t xml:space="preserve">To give an idea of scale, our global forecast copper use </w:t>
      </w:r>
      <w:r w:rsidR="005D23DF" w:rsidRPr="00C95F78">
        <w:rPr>
          <w:rFonts w:eastAsia="Calibri" w:cs="Times New Roman"/>
          <w:szCs w:val="20"/>
        </w:rPr>
        <w:t xml:space="preserve">in this market </w:t>
      </w:r>
      <w:r w:rsidRPr="00C95F78">
        <w:rPr>
          <w:rFonts w:eastAsia="Calibri" w:cs="Times New Roman"/>
          <w:szCs w:val="20"/>
        </w:rPr>
        <w:t>fo</w:t>
      </w:r>
      <w:r w:rsidR="005D23DF" w:rsidRPr="00C95F78">
        <w:rPr>
          <w:rFonts w:eastAsia="Calibri" w:cs="Times New Roman"/>
          <w:szCs w:val="20"/>
        </w:rPr>
        <w:t>r 2020 is equivalent to just 0.07</w:t>
      </w:r>
      <w:r w:rsidRPr="00C95F78">
        <w:rPr>
          <w:rFonts w:eastAsia="Calibri" w:cs="Times New Roman"/>
          <w:szCs w:val="20"/>
        </w:rPr>
        <w:t>% p.a. of all residential floor space being converted from Level 3 to Level 5 wiring</w:t>
      </w:r>
      <w:r w:rsidR="005D23DF" w:rsidRPr="00C95F78">
        <w:rPr>
          <w:rFonts w:eastAsia="Calibri" w:cs="Times New Roman"/>
          <w:szCs w:val="20"/>
        </w:rPr>
        <w:t>, including both installations in new buildings and retrofit</w:t>
      </w:r>
      <w:r w:rsidRPr="00C95F78">
        <w:rPr>
          <w:rFonts w:eastAsia="Calibri" w:cs="Times New Roman"/>
          <w:szCs w:val="20"/>
        </w:rPr>
        <w:t>.</w:t>
      </w:r>
      <w:r w:rsidR="002F0C74" w:rsidRPr="00C95F78">
        <w:rPr>
          <w:rFonts w:eastAsia="Calibri" w:cs="Times New Roman"/>
          <w:szCs w:val="20"/>
        </w:rPr>
        <w:t xml:space="preserve"> Most green technology installation, however, will only be partial, perhaps adding 5-10 kg of copper in wire each and applying to 5-10 homes per thousand annually.</w:t>
      </w:r>
      <w:r w:rsidR="00F519DF">
        <w:rPr>
          <w:rFonts w:eastAsia="Calibri" w:cs="Times New Roman"/>
          <w:szCs w:val="20"/>
        </w:rPr>
        <w:t xml:space="preserve"> </w:t>
      </w:r>
      <w:r w:rsidRPr="00C95F78">
        <w:rPr>
          <w:rFonts w:eastAsia="Calibri" w:cs="Times New Roman"/>
          <w:szCs w:val="20"/>
        </w:rPr>
        <w:t>This will be a market primarily for building wire.</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D1106" w:rsidP="00BB1A5E">
      <w:pPr>
        <w:spacing w:line="240" w:lineRule="auto"/>
        <w:contextualSpacing/>
        <w:jc w:val="both"/>
        <w:rPr>
          <w:rFonts w:eastAsia="Calibri" w:cs="Times New Roman"/>
          <w:szCs w:val="20"/>
        </w:rPr>
      </w:pPr>
      <w:r w:rsidRPr="00C95F78">
        <w:rPr>
          <w:rFonts w:eastAsia="Calibri" w:cs="Times New Roman"/>
          <w:b/>
          <w:szCs w:val="20"/>
        </w:rPr>
        <w:t xml:space="preserve">Specific Wire and Systems Products: </w:t>
      </w:r>
      <w:r w:rsidR="00C1365B" w:rsidRPr="00C95F78">
        <w:rPr>
          <w:rFonts w:eastAsia="Calibri" w:cs="Times New Roman"/>
          <w:szCs w:val="20"/>
        </w:rPr>
        <w:t>In Section 4.2.2 we refer to various environmentally friendly cable alternatives for use in buildings that may find a role in coming years.</w:t>
      </w:r>
    </w:p>
    <w:p w:rsidR="005A48E2" w:rsidRPr="00C95F78" w:rsidRDefault="005A48E2" w:rsidP="00BB1A5E">
      <w:pPr>
        <w:spacing w:line="240" w:lineRule="auto"/>
        <w:contextualSpacing/>
        <w:jc w:val="both"/>
        <w:rPr>
          <w:rFonts w:eastAsia="Calibri" w:cs="Times New Roman"/>
          <w:szCs w:val="20"/>
        </w:rPr>
      </w:pPr>
    </w:p>
    <w:p w:rsidR="005A48E2" w:rsidRPr="00C95F78" w:rsidRDefault="00C1365B" w:rsidP="00BB1A5E">
      <w:pPr>
        <w:spacing w:line="240" w:lineRule="auto"/>
        <w:contextualSpacing/>
        <w:jc w:val="both"/>
        <w:rPr>
          <w:rFonts w:eastAsia="Calibri" w:cs="Times New Roman"/>
          <w:szCs w:val="20"/>
        </w:rPr>
      </w:pPr>
      <w:r w:rsidRPr="00C95F78">
        <w:rPr>
          <w:rFonts w:eastAsia="Calibri" w:cs="Times New Roman"/>
          <w:szCs w:val="20"/>
        </w:rPr>
        <w:t xml:space="preserve">Clearly, there is a growing trend towards </w:t>
      </w:r>
      <w:r w:rsidRPr="00C95F78">
        <w:rPr>
          <w:rFonts w:eastAsia="Calibri" w:cs="Times New Roman"/>
          <w:b/>
          <w:szCs w:val="20"/>
        </w:rPr>
        <w:t>“green cables”</w:t>
      </w:r>
      <w:r w:rsidRPr="00C95F78">
        <w:rPr>
          <w:rFonts w:eastAsia="Calibri" w:cs="Times New Roman"/>
          <w:szCs w:val="20"/>
        </w:rPr>
        <w:t xml:space="preserve">, with more sustainable material content, recyclability and manufacturing process. To some extent, the move towards being green is enforced by legislation. </w:t>
      </w:r>
      <w:r w:rsidR="005D283C" w:rsidRPr="00C95F78">
        <w:rPr>
          <w:rFonts w:eastAsia="Calibri" w:cs="Times New Roman"/>
          <w:szCs w:val="20"/>
        </w:rPr>
        <w:t>In Europe, the incorporation into national laws of EC Directive 2002/96/EC ‘Waste Electrical and Electronic Equipment (WEEE)’ has already had a considerable effect, implementation of the EC directive 2002/95/EC ‘Restriction of the use of certain Hazardous Substances in Electrical and Electronic Equipment (RoHS)’ has yet to come.</w:t>
      </w:r>
    </w:p>
    <w:p w:rsidR="005A48E2" w:rsidRPr="00C95F78" w:rsidRDefault="005A48E2" w:rsidP="00BB1A5E">
      <w:pPr>
        <w:spacing w:line="240" w:lineRule="auto"/>
        <w:contextualSpacing/>
        <w:jc w:val="both"/>
        <w:rPr>
          <w:rFonts w:eastAsia="Calibri" w:cs="Times New Roman"/>
          <w:szCs w:val="20"/>
        </w:rPr>
      </w:pPr>
    </w:p>
    <w:p w:rsidR="005A48E2" w:rsidRPr="00C95F78" w:rsidRDefault="005D283C" w:rsidP="00BB1A5E">
      <w:pPr>
        <w:spacing w:line="240" w:lineRule="auto"/>
        <w:contextualSpacing/>
        <w:jc w:val="both"/>
        <w:rPr>
          <w:rFonts w:eastAsia="Calibri" w:cs="Times New Roman"/>
          <w:szCs w:val="20"/>
        </w:rPr>
      </w:pPr>
      <w:r w:rsidRPr="00C95F78">
        <w:rPr>
          <w:rFonts w:eastAsia="Calibri" w:cs="Times New Roman"/>
          <w:szCs w:val="20"/>
        </w:rPr>
        <w:t>For many, the understanding of the term “green cables” is no more than a reflection of what is coming to be recognised as a requirement in law. As such, it is not possible to identify green cables as a discrete market, so no forecasts are presented here. It should be said, however, that there will always be a small market for cables that significantly exceed the environmental requirements stipulated in law.</w:t>
      </w:r>
    </w:p>
    <w:p w:rsidR="005A48E2" w:rsidRPr="00C95F78" w:rsidRDefault="005A48E2" w:rsidP="00BB1A5E">
      <w:pPr>
        <w:spacing w:line="240" w:lineRule="auto"/>
        <w:contextualSpacing/>
        <w:jc w:val="both"/>
        <w:rPr>
          <w:rFonts w:eastAsia="Calibri" w:cs="Times New Roman"/>
          <w:szCs w:val="20"/>
        </w:rPr>
      </w:pPr>
    </w:p>
    <w:p w:rsidR="005A48E2" w:rsidRPr="00C95F78" w:rsidRDefault="005D283C" w:rsidP="00BB1A5E">
      <w:pPr>
        <w:spacing w:line="240" w:lineRule="auto"/>
        <w:contextualSpacing/>
        <w:jc w:val="both"/>
        <w:rPr>
          <w:rFonts w:eastAsia="Calibri" w:cs="Times New Roman"/>
          <w:szCs w:val="20"/>
        </w:rPr>
      </w:pPr>
      <w:r w:rsidRPr="00C95F78">
        <w:rPr>
          <w:rFonts w:eastAsia="Calibri" w:cs="Times New Roman"/>
          <w:szCs w:val="20"/>
        </w:rPr>
        <w:t xml:space="preserve">In Section 4.2.2 we also refer to a potential market for </w:t>
      </w:r>
      <w:r w:rsidRPr="00C95F78">
        <w:rPr>
          <w:rFonts w:eastAsia="Calibri" w:cs="Times New Roman"/>
          <w:b/>
          <w:szCs w:val="20"/>
        </w:rPr>
        <w:t>electrostress cable</w:t>
      </w:r>
      <w:r w:rsidRPr="00C95F78">
        <w:rPr>
          <w:rFonts w:eastAsia="Calibri" w:cs="Times New Roman"/>
          <w:szCs w:val="20"/>
        </w:rPr>
        <w:t>, capable of greatly reducing electromagnetic fields. This is very unlikely to become a mainstream market, the application probably being limited to the extreme end of the green building market. We do not provide forecasts for this product, but it is worth watching as a market that stands an outside</w:t>
      </w:r>
      <w:r w:rsidR="001A593F" w:rsidRPr="00C95F78">
        <w:rPr>
          <w:rFonts w:eastAsia="Calibri" w:cs="Times New Roman"/>
          <w:szCs w:val="20"/>
        </w:rPr>
        <w:t xml:space="preserve"> chance of becoming significant</w:t>
      </w:r>
      <w:r w:rsidRPr="00C95F78">
        <w:rPr>
          <w:rFonts w:eastAsia="Calibri" w:cs="Times New Roman"/>
          <w:szCs w:val="20"/>
        </w:rPr>
        <w:t>.</w:t>
      </w:r>
    </w:p>
    <w:p w:rsidR="005A48E2" w:rsidRPr="00C95F78" w:rsidRDefault="005A48E2" w:rsidP="00BB1A5E">
      <w:pPr>
        <w:spacing w:line="240" w:lineRule="auto"/>
        <w:contextualSpacing/>
        <w:jc w:val="both"/>
        <w:rPr>
          <w:rFonts w:eastAsia="Calibri" w:cs="Times New Roman"/>
          <w:szCs w:val="20"/>
        </w:rPr>
      </w:pPr>
    </w:p>
    <w:p w:rsidR="005A48E2" w:rsidRPr="00C95F78" w:rsidRDefault="005D283C" w:rsidP="00BB1A5E">
      <w:pPr>
        <w:spacing w:line="240" w:lineRule="auto"/>
        <w:contextualSpacing/>
        <w:jc w:val="both"/>
        <w:rPr>
          <w:rFonts w:eastAsia="Calibri" w:cs="Times New Roman"/>
          <w:szCs w:val="20"/>
        </w:rPr>
      </w:pPr>
      <w:r w:rsidRPr="00C95F78">
        <w:rPr>
          <w:rFonts w:eastAsia="Calibri" w:cs="Times New Roman"/>
          <w:szCs w:val="20"/>
        </w:rPr>
        <w:t xml:space="preserve">We also mention a potential market </w:t>
      </w:r>
      <w:r w:rsidR="001A593F" w:rsidRPr="00C95F78">
        <w:rPr>
          <w:rFonts w:eastAsia="Calibri" w:cs="Times New Roman"/>
          <w:szCs w:val="20"/>
        </w:rPr>
        <w:t xml:space="preserve">for </w:t>
      </w:r>
      <w:r w:rsidR="001A593F" w:rsidRPr="00C95F78">
        <w:rPr>
          <w:rFonts w:eastAsia="Calibri" w:cs="Times New Roman"/>
          <w:b/>
          <w:szCs w:val="20"/>
        </w:rPr>
        <w:t>ecological wiring</w:t>
      </w:r>
      <w:r w:rsidR="001A593F" w:rsidRPr="00C95F78">
        <w:rPr>
          <w:rFonts w:eastAsia="Calibri" w:cs="Times New Roman"/>
          <w:szCs w:val="20"/>
        </w:rPr>
        <w:t>, where conductor size is determined not by economics, but by an environmental audit taking into account the environmental saving in lower energy consumption and the environmental detriment in material use in larger cables. The application of such a concept is likely to apply only to a few prestige commercial and government buildings, and is very unlikely to become mainstream. Where it is applied, however, with wire use increasing by up to 200%, a large increment in copper use applies. As such this is a market worth considering, despite its likely low penetration.</w:t>
      </w:r>
    </w:p>
    <w:p w:rsidR="005A48E2" w:rsidRPr="00C95F78" w:rsidRDefault="005A48E2" w:rsidP="00BB1A5E">
      <w:pPr>
        <w:spacing w:line="240" w:lineRule="auto"/>
        <w:contextualSpacing/>
        <w:jc w:val="both"/>
        <w:rPr>
          <w:rFonts w:eastAsia="Calibri" w:cs="Times New Roman"/>
          <w:szCs w:val="20"/>
        </w:rPr>
      </w:pPr>
    </w:p>
    <w:p w:rsidR="005A48E2" w:rsidRPr="00C95F78" w:rsidRDefault="001A593F" w:rsidP="00BB1A5E">
      <w:pPr>
        <w:spacing w:line="240" w:lineRule="auto"/>
        <w:contextualSpacing/>
        <w:jc w:val="both"/>
        <w:rPr>
          <w:rFonts w:eastAsia="Calibri" w:cs="Times New Roman"/>
          <w:szCs w:val="20"/>
        </w:rPr>
      </w:pPr>
      <w:r w:rsidRPr="00C95F78">
        <w:rPr>
          <w:rFonts w:eastAsia="Calibri" w:cs="Times New Roman"/>
          <w:szCs w:val="20"/>
        </w:rPr>
        <w:t xml:space="preserve">Another potential growth market is for </w:t>
      </w:r>
      <w:r w:rsidRPr="00C95F78">
        <w:rPr>
          <w:rFonts w:eastAsia="Calibri" w:cs="Times New Roman"/>
          <w:b/>
          <w:szCs w:val="20"/>
        </w:rPr>
        <w:t>high power data cables</w:t>
      </w:r>
      <w:r w:rsidRPr="00C95F78">
        <w:rPr>
          <w:rFonts w:eastAsia="Calibri" w:cs="Times New Roman"/>
          <w:szCs w:val="20"/>
        </w:rPr>
        <w:t>, capable of carrying 30W or more of electricity</w:t>
      </w:r>
      <w:r w:rsidR="003F675C" w:rsidRPr="00C95F78">
        <w:rPr>
          <w:rFonts w:eastAsia="Calibri" w:cs="Times New Roman"/>
          <w:szCs w:val="20"/>
        </w:rPr>
        <w:t xml:space="preserve"> to remote network devices. These probably have a greater application in commercial buildings, especially in data centres, than in the home. Where such cables, are used they may replace independent power supply with energy cables, so it may appear that there would be a net negative effect on copper. In the battle against fibre optics, however, the ability of copper data cables to carry power as well as data is an important advantage. Focus on this may help slow the erosion of market share. As high power data cables is not really a discrete market but part of a continuum, no forecasts are presented here.</w:t>
      </w:r>
    </w:p>
    <w:p w:rsidR="005A48E2" w:rsidRPr="00C95F78" w:rsidRDefault="005A48E2" w:rsidP="00BB1A5E">
      <w:pPr>
        <w:spacing w:line="240" w:lineRule="auto"/>
        <w:contextualSpacing/>
        <w:jc w:val="both"/>
        <w:rPr>
          <w:rFonts w:eastAsia="Calibri" w:cs="Times New Roman"/>
          <w:szCs w:val="20"/>
        </w:rPr>
      </w:pPr>
    </w:p>
    <w:p w:rsidR="005A48E2" w:rsidRPr="00C95F78" w:rsidRDefault="00B96075" w:rsidP="00BB1A5E">
      <w:pPr>
        <w:spacing w:line="240" w:lineRule="auto"/>
        <w:contextualSpacing/>
        <w:jc w:val="both"/>
        <w:rPr>
          <w:rFonts w:eastAsia="Calibri" w:cs="Times New Roman"/>
          <w:szCs w:val="20"/>
        </w:rPr>
      </w:pPr>
      <w:r w:rsidRPr="00C95F78">
        <w:rPr>
          <w:rFonts w:eastAsia="Calibri" w:cs="Times New Roman"/>
          <w:szCs w:val="20"/>
        </w:rPr>
        <w:t xml:space="preserve">A definitely negative development for copper would be a wide adoption of </w:t>
      </w:r>
      <w:r w:rsidRPr="00C95F78">
        <w:rPr>
          <w:rFonts w:eastAsia="Calibri" w:cs="Times New Roman"/>
          <w:b/>
          <w:szCs w:val="20"/>
        </w:rPr>
        <w:t>wireless power transmission</w:t>
      </w:r>
      <w:r w:rsidRPr="00C95F78">
        <w:rPr>
          <w:rFonts w:eastAsia="Calibri" w:cs="Times New Roman"/>
          <w:szCs w:val="20"/>
        </w:rPr>
        <w:t xml:space="preserve"> technologies. The principal involved is the transmission of electric power from the electricity source to the appliance. This requires a transmitter unit and a receiver coil. Both items contain winding wire although, of course, wire is not needed between source and destination. </w:t>
      </w:r>
    </w:p>
    <w:p w:rsidR="005A48E2" w:rsidRPr="00C95F78" w:rsidRDefault="005A48E2" w:rsidP="00BB1A5E">
      <w:pPr>
        <w:spacing w:line="240" w:lineRule="auto"/>
        <w:contextualSpacing/>
        <w:jc w:val="both"/>
        <w:rPr>
          <w:rFonts w:eastAsia="Calibri" w:cs="Times New Roman"/>
          <w:szCs w:val="20"/>
        </w:rPr>
      </w:pPr>
    </w:p>
    <w:p w:rsidR="005A48E2" w:rsidRPr="00C95F78" w:rsidRDefault="00B96075" w:rsidP="00BB1A5E">
      <w:pPr>
        <w:spacing w:line="240" w:lineRule="auto"/>
        <w:contextualSpacing/>
        <w:jc w:val="both"/>
        <w:rPr>
          <w:rFonts w:eastAsia="Calibri" w:cs="Times New Roman"/>
          <w:szCs w:val="20"/>
        </w:rPr>
      </w:pPr>
      <w:r w:rsidRPr="00C95F78">
        <w:rPr>
          <w:rFonts w:eastAsia="Calibri" w:cs="Times New Roman"/>
          <w:szCs w:val="20"/>
        </w:rPr>
        <w:t xml:space="preserve">Quite a number of companies are involved in ensuring uniform standards and promoting this technology through the Wireless Power Consortium, with such slogans as “Wireless in Beautiful”, “Connectors and Cables are Ugly” and “Connectors and Cables are Unnecessary”. While there is considerable hype, however, to date wireless power transmission is limited to a few low power products such as electric tooth brushes and UV lamps for water purification. At present, transmission modules are expensive and the technology for </w:t>
      </w:r>
      <w:r w:rsidR="002E2B8A" w:rsidRPr="00C95F78">
        <w:rPr>
          <w:rFonts w:eastAsia="Calibri" w:cs="Times New Roman"/>
          <w:szCs w:val="20"/>
        </w:rPr>
        <w:t>high power transmission limited. Should these problems by overcome, we may expect consumer (and even legislative) resistance to electric power being transmitted through the air. We do not, therefore, consider this as an emerging market.</w:t>
      </w:r>
    </w:p>
    <w:p w:rsidR="005A48E2" w:rsidRPr="00C95F78" w:rsidRDefault="005A48E2" w:rsidP="00BB1A5E">
      <w:pPr>
        <w:spacing w:line="240" w:lineRule="auto"/>
        <w:contextualSpacing/>
        <w:jc w:val="both"/>
        <w:rPr>
          <w:rFonts w:eastAsia="Calibri" w:cs="Times New Roman"/>
          <w:szCs w:val="20"/>
        </w:rPr>
      </w:pPr>
    </w:p>
    <w:p w:rsidR="005F3C7D" w:rsidRPr="00C95F78" w:rsidRDefault="005F3C7D"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Smart Ageing</w:t>
      </w:r>
    </w:p>
    <w:p w:rsidR="005A48E2" w:rsidRPr="00C95F78" w:rsidRDefault="005A48E2" w:rsidP="00BB1A5E">
      <w:pPr>
        <w:spacing w:after="0" w:line="240" w:lineRule="auto"/>
        <w:contextualSpacing/>
        <w:jc w:val="both"/>
      </w:pPr>
    </w:p>
    <w:p w:rsidR="005A48E2" w:rsidRPr="00C95F78" w:rsidRDefault="00B01B7C" w:rsidP="00BB1A5E">
      <w:pPr>
        <w:spacing w:after="0" w:line="240" w:lineRule="auto"/>
        <w:contextualSpacing/>
        <w:jc w:val="both"/>
        <w:rPr>
          <w:szCs w:val="20"/>
        </w:rPr>
      </w:pPr>
      <w:r w:rsidRPr="00C95F78">
        <w:rPr>
          <w:szCs w:val="20"/>
        </w:rPr>
        <w:t>Automation,</w:t>
      </w:r>
      <w:r w:rsidR="005F3C7D" w:rsidRPr="00C95F78">
        <w:rPr>
          <w:szCs w:val="20"/>
        </w:rPr>
        <w:t xml:space="preserve"> sensoring </w:t>
      </w:r>
      <w:r w:rsidRPr="00C95F78">
        <w:rPr>
          <w:szCs w:val="20"/>
        </w:rPr>
        <w:t xml:space="preserve">and monitoring </w:t>
      </w:r>
      <w:r w:rsidR="005F3C7D" w:rsidRPr="00C95F78">
        <w:rPr>
          <w:szCs w:val="20"/>
        </w:rPr>
        <w:t>systems to assist the elderly to remain in their homes benefit copper for electrical applications in three ways:</w:t>
      </w:r>
    </w:p>
    <w:p w:rsidR="005A48E2" w:rsidRPr="00C95F78" w:rsidRDefault="005A48E2" w:rsidP="00BB1A5E">
      <w:pPr>
        <w:spacing w:after="0" w:line="240" w:lineRule="auto"/>
        <w:contextualSpacing/>
        <w:jc w:val="both"/>
        <w:rPr>
          <w:szCs w:val="20"/>
        </w:rPr>
      </w:pPr>
    </w:p>
    <w:p w:rsidR="005A48E2" w:rsidRPr="00C95F78" w:rsidRDefault="005F3C7D" w:rsidP="00BB1A5E">
      <w:pPr>
        <w:pStyle w:val="ListParagraph"/>
        <w:widowControl w:val="0"/>
        <w:numPr>
          <w:ilvl w:val="0"/>
          <w:numId w:val="3"/>
        </w:numPr>
        <w:suppressAutoHyphens/>
        <w:spacing w:after="0" w:line="240" w:lineRule="auto"/>
        <w:jc w:val="both"/>
        <w:rPr>
          <w:szCs w:val="20"/>
        </w:rPr>
      </w:pPr>
      <w:r w:rsidRPr="00C95F78">
        <w:rPr>
          <w:szCs w:val="20"/>
        </w:rPr>
        <w:t>New wiring will be required to connect devices and switches to the mains power supply. In many cases, substantial rewiring of the building will be required to bring current wiring up to appropriate standard. This is likely to be the biggest opportunity for the copper industry.</w:t>
      </w:r>
    </w:p>
    <w:p w:rsidR="005A48E2" w:rsidRPr="00C95F78" w:rsidRDefault="005A48E2" w:rsidP="00BB1A5E">
      <w:pPr>
        <w:pStyle w:val="ListParagraph"/>
        <w:widowControl w:val="0"/>
        <w:suppressAutoHyphens/>
        <w:spacing w:after="0" w:line="240" w:lineRule="auto"/>
        <w:jc w:val="both"/>
        <w:rPr>
          <w:szCs w:val="20"/>
        </w:rPr>
      </w:pPr>
    </w:p>
    <w:p w:rsidR="005A48E2" w:rsidRPr="00C95F78" w:rsidRDefault="005F3C7D" w:rsidP="00BB1A5E">
      <w:pPr>
        <w:pStyle w:val="ListParagraph"/>
        <w:widowControl w:val="0"/>
        <w:numPr>
          <w:ilvl w:val="0"/>
          <w:numId w:val="3"/>
        </w:numPr>
        <w:suppressAutoHyphens/>
        <w:spacing w:after="0" w:line="240" w:lineRule="auto"/>
        <w:jc w:val="both"/>
        <w:rPr>
          <w:szCs w:val="20"/>
        </w:rPr>
      </w:pPr>
      <w:r w:rsidRPr="00C95F78">
        <w:rPr>
          <w:szCs w:val="20"/>
        </w:rPr>
        <w:t>Some devices, such as stair lifts, will require electrical motors containing copper.</w:t>
      </w:r>
    </w:p>
    <w:p w:rsidR="005A48E2" w:rsidRPr="00C95F78" w:rsidRDefault="005A48E2" w:rsidP="00BB1A5E">
      <w:pPr>
        <w:pStyle w:val="ListParagraph"/>
        <w:spacing w:line="240" w:lineRule="auto"/>
        <w:jc w:val="both"/>
        <w:rPr>
          <w:szCs w:val="20"/>
        </w:rPr>
      </w:pPr>
    </w:p>
    <w:p w:rsidR="005A48E2" w:rsidRPr="00C95F78" w:rsidRDefault="005F3C7D" w:rsidP="00BB1A5E">
      <w:pPr>
        <w:pStyle w:val="ListParagraph"/>
        <w:widowControl w:val="0"/>
        <w:numPr>
          <w:ilvl w:val="0"/>
          <w:numId w:val="3"/>
        </w:numPr>
        <w:suppressAutoHyphens/>
        <w:spacing w:after="0" w:line="240" w:lineRule="auto"/>
        <w:jc w:val="both"/>
        <w:rPr>
          <w:szCs w:val="20"/>
        </w:rPr>
      </w:pPr>
      <w:r w:rsidRPr="00C95F78">
        <w:rPr>
          <w:szCs w:val="20"/>
        </w:rPr>
        <w:t>A small amount of copper is used in sensoring and control devices.</w:t>
      </w:r>
    </w:p>
    <w:p w:rsidR="005F3C7D" w:rsidRPr="00C95F78" w:rsidRDefault="005F3C7D" w:rsidP="00BB1A5E">
      <w:pPr>
        <w:spacing w:after="0" w:line="240" w:lineRule="auto"/>
        <w:contextualSpacing/>
        <w:jc w:val="both"/>
      </w:pPr>
    </w:p>
    <w:p w:rsidR="005A48E2" w:rsidRPr="00C95F78" w:rsidRDefault="005F3C7D" w:rsidP="00BB1A5E">
      <w:pPr>
        <w:spacing w:after="0" w:line="240" w:lineRule="auto"/>
        <w:contextualSpacing/>
        <w:jc w:val="both"/>
      </w:pPr>
      <w:r w:rsidRPr="00C95F78">
        <w:t>An ECI study by JEL consulting</w:t>
      </w:r>
      <w:r w:rsidRPr="00C95F78">
        <w:rPr>
          <w:rStyle w:val="FootnoteReference"/>
        </w:rPr>
        <w:footnoteReference w:id="34"/>
      </w:r>
      <w:r w:rsidRPr="00C95F78">
        <w:t xml:space="preserve"> presents the view that copper use in developed markets cu</w:t>
      </w:r>
      <w:r w:rsidR="00B01B7C" w:rsidRPr="00C95F78">
        <w:t xml:space="preserve">rrently stands at 30 kg per 100 </w:t>
      </w:r>
      <w:r w:rsidR="00BD5AFE" w:rsidRPr="00C95F78">
        <w:t>m</w:t>
      </w:r>
      <w:r w:rsidR="004308DA" w:rsidRPr="00C95F78">
        <w:rPr>
          <w:vertAlign w:val="superscript"/>
        </w:rPr>
        <w:t>2</w:t>
      </w:r>
      <w:r w:rsidRPr="00C95F78">
        <w:t xml:space="preserve">, and that this would need to be increased to </w:t>
      </w:r>
      <w:r w:rsidR="00B01B7C" w:rsidRPr="00C95F78">
        <w:t xml:space="preserve">70 kg per 100 </w:t>
      </w:r>
      <w:r w:rsidR="00BD5AFE" w:rsidRPr="00C95F78">
        <w:t>m</w:t>
      </w:r>
      <w:r w:rsidR="004308DA" w:rsidRPr="00C95F78">
        <w:rPr>
          <w:vertAlign w:val="superscript"/>
        </w:rPr>
        <w:t>2</w:t>
      </w:r>
      <w:r w:rsidR="00816DA2">
        <w:t xml:space="preserve"> t</w:t>
      </w:r>
      <w:r w:rsidRPr="00C95F78">
        <w:t>o provide ageing, comfort and health monitoring technologies.</w:t>
      </w:r>
    </w:p>
    <w:p w:rsidR="005A48E2" w:rsidRPr="00C95F78" w:rsidRDefault="005A48E2" w:rsidP="00BB1A5E">
      <w:pPr>
        <w:spacing w:after="0" w:line="240" w:lineRule="auto"/>
        <w:contextualSpacing/>
        <w:jc w:val="both"/>
      </w:pPr>
    </w:p>
    <w:p w:rsidR="005A48E2" w:rsidRPr="00C95F78" w:rsidRDefault="005F3C7D" w:rsidP="00BB1A5E">
      <w:pPr>
        <w:spacing w:after="0" w:line="240" w:lineRule="auto"/>
        <w:contextualSpacing/>
        <w:jc w:val="both"/>
      </w:pPr>
      <w:r w:rsidRPr="00C95F78">
        <w:t xml:space="preserve">Government involvement both in provision and regulation is highly important in this field. This can be illustrated by looking at some aspects of elderly care provision in the UK. </w:t>
      </w:r>
    </w:p>
    <w:p w:rsidR="005A48E2" w:rsidRPr="00C95F78" w:rsidRDefault="005A48E2" w:rsidP="00BB1A5E">
      <w:pPr>
        <w:spacing w:after="0" w:line="240" w:lineRule="auto"/>
        <w:contextualSpacing/>
        <w:jc w:val="both"/>
      </w:pPr>
    </w:p>
    <w:p w:rsidR="005A48E2" w:rsidRPr="00C95F78" w:rsidRDefault="005F3C7D" w:rsidP="00BB1A5E">
      <w:pPr>
        <w:widowControl w:val="0"/>
        <w:suppressAutoHyphens/>
        <w:spacing w:after="0" w:line="240" w:lineRule="auto"/>
        <w:contextualSpacing/>
        <w:jc w:val="both"/>
      </w:pPr>
      <w:r w:rsidRPr="00C95F78">
        <w:t>The net total public cost of adult social care in England was £13.34 billion in 2007/08, of which £7.11 billion related to those over 65. An additional £2.15 billion was paid in user charges, £1.76 billion coming from older people. However, these figures to do not include other private funding. These costs include both nursing care provided in one home and residential care</w:t>
      </w:r>
      <w:r w:rsidRPr="00C95F78">
        <w:rPr>
          <w:rStyle w:val="FootnoteReference"/>
        </w:rPr>
        <w:footnoteReference w:id="35"/>
      </w:r>
      <w:r w:rsidRPr="00C95F78">
        <w:t xml:space="preserve">. </w:t>
      </w:r>
    </w:p>
    <w:p w:rsidR="005A48E2" w:rsidRPr="00C95F78" w:rsidRDefault="005A48E2" w:rsidP="00BB1A5E">
      <w:pPr>
        <w:widowControl w:val="0"/>
        <w:suppressAutoHyphens/>
        <w:spacing w:after="0" w:line="240" w:lineRule="auto"/>
        <w:contextualSpacing/>
        <w:jc w:val="both"/>
      </w:pPr>
    </w:p>
    <w:p w:rsidR="005A48E2" w:rsidRPr="00C95F78" w:rsidRDefault="005F3C7D" w:rsidP="00BB1A5E">
      <w:pPr>
        <w:widowControl w:val="0"/>
        <w:numPr>
          <w:ilvl w:val="0"/>
          <w:numId w:val="4"/>
        </w:numPr>
        <w:suppressAutoHyphens/>
        <w:spacing w:after="0" w:line="240" w:lineRule="auto"/>
        <w:contextualSpacing/>
        <w:jc w:val="both"/>
      </w:pPr>
      <w:r w:rsidRPr="00C95F78">
        <w:t>Residential care is particularly expensive and it has been the government’s policy for some time to help elderly people remain in the community. In practice, this places a substantial cost on voluntary carers.</w:t>
      </w:r>
    </w:p>
    <w:p w:rsidR="005A48E2" w:rsidRPr="00C95F78" w:rsidRDefault="005A48E2" w:rsidP="00BB1A5E">
      <w:pPr>
        <w:widowControl w:val="0"/>
        <w:suppressAutoHyphens/>
        <w:spacing w:after="0" w:line="240" w:lineRule="auto"/>
        <w:ind w:left="720"/>
        <w:contextualSpacing/>
        <w:jc w:val="both"/>
      </w:pPr>
    </w:p>
    <w:p w:rsidR="005A48E2" w:rsidRPr="00C95F78" w:rsidRDefault="005F3C7D" w:rsidP="00BB1A5E">
      <w:pPr>
        <w:widowControl w:val="0"/>
        <w:numPr>
          <w:ilvl w:val="0"/>
          <w:numId w:val="4"/>
        </w:numPr>
        <w:suppressAutoHyphens/>
        <w:spacing w:after="0" w:line="240" w:lineRule="auto"/>
        <w:contextualSpacing/>
        <w:jc w:val="both"/>
      </w:pPr>
      <w:r w:rsidRPr="00C95F78">
        <w:t>The UK currently offers a Disabled Facilities Grant of up to £30,000 to adapt homes to help people on benefits to live more comfortably and independently. This grant currently helps around 40,000 people per year. These grants include measures such as installing stair lifts, walk in showers and wider doors.</w:t>
      </w:r>
    </w:p>
    <w:p w:rsidR="005A48E2" w:rsidRPr="00C95F78" w:rsidRDefault="005A48E2" w:rsidP="00BB1A5E">
      <w:pPr>
        <w:widowControl w:val="0"/>
        <w:suppressAutoHyphens/>
        <w:spacing w:after="0" w:line="240" w:lineRule="auto"/>
        <w:ind w:left="720"/>
        <w:contextualSpacing/>
        <w:jc w:val="both"/>
      </w:pPr>
    </w:p>
    <w:p w:rsidR="005A48E2" w:rsidRPr="00C95F78" w:rsidRDefault="005F3C7D" w:rsidP="00BB1A5E">
      <w:pPr>
        <w:widowControl w:val="0"/>
        <w:numPr>
          <w:ilvl w:val="0"/>
          <w:numId w:val="4"/>
        </w:numPr>
        <w:suppressAutoHyphens/>
        <w:spacing w:after="0" w:line="240" w:lineRule="auto"/>
        <w:contextualSpacing/>
        <w:jc w:val="both"/>
      </w:pPr>
      <w:r w:rsidRPr="00C95F78">
        <w:t>The government also supports home improvement agencies, which aim to take steps to help the elderly to access repair and maintenance services and stay in their homes.</w:t>
      </w:r>
    </w:p>
    <w:p w:rsidR="005A48E2" w:rsidRPr="00C95F78" w:rsidRDefault="005A48E2" w:rsidP="00BB1A5E">
      <w:pPr>
        <w:widowControl w:val="0"/>
        <w:suppressAutoHyphens/>
        <w:spacing w:after="0" w:line="240" w:lineRule="auto"/>
        <w:ind w:left="720"/>
        <w:contextualSpacing/>
        <w:jc w:val="both"/>
      </w:pPr>
    </w:p>
    <w:p w:rsidR="005A48E2" w:rsidRPr="00C95F78" w:rsidRDefault="005F3C7D" w:rsidP="00BB1A5E">
      <w:pPr>
        <w:widowControl w:val="0"/>
        <w:numPr>
          <w:ilvl w:val="0"/>
          <w:numId w:val="4"/>
        </w:numPr>
        <w:suppressAutoHyphens/>
        <w:spacing w:after="0" w:line="240" w:lineRule="auto"/>
        <w:contextualSpacing/>
        <w:jc w:val="both"/>
      </w:pPr>
      <w:r w:rsidRPr="00C95F78">
        <w:t>The government's Warm Front Scheme run by a private contractor, provides a range of heating and insulation measures to vulnerable householders receiving certain benefits. Since it started in 2000, Warm Front has assisted around 1.6 million households, with around half of those aged over 60.</w:t>
      </w:r>
    </w:p>
    <w:p w:rsidR="005A48E2" w:rsidRPr="00C95F78" w:rsidRDefault="005A48E2" w:rsidP="00BB1A5E">
      <w:pPr>
        <w:spacing w:after="0" w:line="240" w:lineRule="auto"/>
        <w:contextualSpacing/>
        <w:jc w:val="both"/>
      </w:pPr>
    </w:p>
    <w:p w:rsidR="005A48E2" w:rsidRPr="00C95F78" w:rsidRDefault="00B01B7C" w:rsidP="00BB1A5E">
      <w:pPr>
        <w:spacing w:after="0" w:line="240" w:lineRule="auto"/>
        <w:contextualSpacing/>
        <w:jc w:val="both"/>
        <w:rPr>
          <w:szCs w:val="20"/>
        </w:rPr>
      </w:pPr>
      <w:r w:rsidRPr="00C95F78">
        <w:rPr>
          <w:szCs w:val="20"/>
        </w:rPr>
        <w:t xml:space="preserve">While the UK government’s approach appears to be piecemeal, it is clearly working towards reducing </w:t>
      </w:r>
      <w:r w:rsidR="005F3C7D" w:rsidRPr="00C95F78">
        <w:rPr>
          <w:szCs w:val="20"/>
        </w:rPr>
        <w:t>residential care costs by taking steps to help people stay in their own homes.</w:t>
      </w:r>
      <w:r w:rsidRPr="00C95F78">
        <w:rPr>
          <w:szCs w:val="20"/>
        </w:rPr>
        <w:t xml:space="preserve"> There remains</w:t>
      </w:r>
      <w:r w:rsidR="005F3C7D" w:rsidRPr="00C95F78">
        <w:rPr>
          <w:szCs w:val="20"/>
        </w:rPr>
        <w:t xml:space="preserve"> considerable scope </w:t>
      </w:r>
      <w:r w:rsidRPr="00C95F78">
        <w:rPr>
          <w:szCs w:val="20"/>
        </w:rPr>
        <w:t xml:space="preserve">for it </w:t>
      </w:r>
      <w:r w:rsidR="005F3C7D" w:rsidRPr="00C95F78">
        <w:rPr>
          <w:szCs w:val="20"/>
        </w:rPr>
        <w:t xml:space="preserve">to further adopt smart ageing technologies. </w:t>
      </w:r>
    </w:p>
    <w:p w:rsidR="005A48E2" w:rsidRPr="00C95F78" w:rsidRDefault="005A48E2" w:rsidP="00BB1A5E">
      <w:pPr>
        <w:spacing w:after="0" w:line="240" w:lineRule="auto"/>
        <w:contextualSpacing/>
        <w:jc w:val="both"/>
        <w:rPr>
          <w:szCs w:val="20"/>
        </w:rPr>
      </w:pPr>
    </w:p>
    <w:p w:rsidR="00A86C48" w:rsidRDefault="008D0E49" w:rsidP="00BB1A5E">
      <w:pPr>
        <w:spacing w:after="0" w:line="240" w:lineRule="auto"/>
        <w:contextualSpacing/>
        <w:jc w:val="both"/>
        <w:rPr>
          <w:szCs w:val="20"/>
        </w:rPr>
      </w:pPr>
      <w:r w:rsidRPr="00C95F78">
        <w:rPr>
          <w:szCs w:val="20"/>
        </w:rPr>
        <w:t>An example of a full implementation of smart ageing concepts is provided by the groups of</w:t>
      </w:r>
      <w:r w:rsidR="00A86C48">
        <w:rPr>
          <w:szCs w:val="20"/>
        </w:rPr>
        <w:t xml:space="preserve"> </w:t>
      </w:r>
      <w:r w:rsidR="00A86C48" w:rsidRPr="00C95F78">
        <w:rPr>
          <w:szCs w:val="20"/>
        </w:rPr>
        <w:t>apartments being built by Serviceflats Invest in Belgium. Early in 1998, it had completed 1,063 such flats in 46 projects. Flats are built to a standard design, usually with a living area of 54 m². Every flat is equipped with an integrated home system combining sensoring and monitoring with electronic control, coordinated through a central control panel. They also have a mechanical ventilation unit, equipped form heat recovery.</w:t>
      </w:r>
    </w:p>
    <w:p w:rsidR="00A86C48" w:rsidRDefault="00A86C48" w:rsidP="00BB1A5E">
      <w:pPr>
        <w:spacing w:after="0" w:line="240" w:lineRule="auto"/>
        <w:contextualSpacing/>
        <w:jc w:val="both"/>
        <w:rPr>
          <w:szCs w:val="20"/>
        </w:rPr>
      </w:pPr>
    </w:p>
    <w:p w:rsidR="00A86C48" w:rsidRPr="00C95F78" w:rsidRDefault="00A86C48" w:rsidP="00BB1A5E">
      <w:pPr>
        <w:spacing w:after="0" w:line="240" w:lineRule="auto"/>
        <w:contextualSpacing/>
        <w:jc w:val="both"/>
        <w:rPr>
          <w:szCs w:val="20"/>
        </w:rPr>
      </w:pPr>
      <w:r w:rsidRPr="00C95F78">
        <w:rPr>
          <w:szCs w:val="20"/>
        </w:rPr>
        <w:t>Clearly, as we go forward, we are likely to see more developments such as those built by Serviceflats, and also grant-based incremental development as in the UK.</w:t>
      </w:r>
    </w:p>
    <w:p w:rsidR="00A86C48" w:rsidRPr="00C95F78" w:rsidRDefault="00A86C48" w:rsidP="00BB1A5E">
      <w:pPr>
        <w:spacing w:after="0" w:line="240" w:lineRule="auto"/>
        <w:contextualSpacing/>
        <w:jc w:val="both"/>
        <w:rPr>
          <w:szCs w:val="20"/>
        </w:rPr>
      </w:pPr>
    </w:p>
    <w:p w:rsidR="00A86C48" w:rsidRPr="00C95F78" w:rsidRDefault="00A86C48" w:rsidP="00BB1A5E">
      <w:pPr>
        <w:spacing w:after="0" w:line="240" w:lineRule="auto"/>
        <w:contextualSpacing/>
        <w:jc w:val="both"/>
        <w:rPr>
          <w:szCs w:val="20"/>
        </w:rPr>
      </w:pPr>
      <w:r w:rsidRPr="00C95F78">
        <w:rPr>
          <w:szCs w:val="20"/>
        </w:rPr>
        <w:t>We have based our smart ageing copper forecasts on the following assumptions:</w:t>
      </w:r>
    </w:p>
    <w:p w:rsidR="00A86C48" w:rsidRPr="00C95F78" w:rsidRDefault="00A86C48" w:rsidP="00BB1A5E">
      <w:pPr>
        <w:spacing w:after="0" w:line="240" w:lineRule="auto"/>
        <w:contextualSpacing/>
        <w:jc w:val="both"/>
        <w:rPr>
          <w:szCs w:val="20"/>
        </w:rPr>
      </w:pPr>
    </w:p>
    <w:p w:rsidR="005A48E2" w:rsidRPr="00C95F78" w:rsidRDefault="007D5657" w:rsidP="00BB1A5E">
      <w:pPr>
        <w:spacing w:after="0" w:line="240" w:lineRule="auto"/>
        <w:contextualSpacing/>
        <w:jc w:val="both"/>
        <w:rPr>
          <w:szCs w:val="20"/>
        </w:rPr>
      </w:pPr>
      <w:r w:rsidRPr="00C95F78">
        <w:rPr>
          <w:sz w:val="28"/>
          <w:szCs w:val="28"/>
        </w:rPr>
        <w:br w:type="page"/>
      </w:r>
    </w:p>
    <w:p w:rsidR="00450857" w:rsidRPr="00C95F78" w:rsidRDefault="00450857" w:rsidP="00CD78AF">
      <w:pPr>
        <w:pStyle w:val="Caption"/>
        <w:contextualSpacing/>
        <w:jc w:val="center"/>
        <w:rPr>
          <w:sz w:val="28"/>
          <w:szCs w:val="28"/>
        </w:rPr>
      </w:pPr>
      <w:bookmarkStart w:id="208" w:name="_Toc26367176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107</w:t>
      </w:r>
      <w:r w:rsidR="00D50FDC" w:rsidRPr="00C95F78">
        <w:rPr>
          <w:sz w:val="28"/>
          <w:szCs w:val="28"/>
        </w:rPr>
        <w:fldChar w:fldCharType="end"/>
      </w:r>
      <w:r w:rsidRPr="00C95F78">
        <w:rPr>
          <w:sz w:val="28"/>
          <w:szCs w:val="28"/>
        </w:rPr>
        <w:t>: Smart Ageing Copper Consumption – Base Scenario (Kt Cu)</w:t>
      </w:r>
      <w:bookmarkEnd w:id="208"/>
    </w:p>
    <w:p w:rsidR="00450857" w:rsidRPr="00C95F78" w:rsidRDefault="00450857" w:rsidP="00BB1A5E">
      <w:pPr>
        <w:spacing w:after="0" w:line="240" w:lineRule="auto"/>
        <w:contextualSpacing/>
        <w:jc w:val="both"/>
      </w:pPr>
      <w:r w:rsidRPr="00C95F78">
        <w:rPr>
          <w:noProof/>
          <w:lang w:val="en-US"/>
        </w:rPr>
        <w:drawing>
          <wp:inline distT="0" distB="0" distL="0" distR="0">
            <wp:extent cx="5831840" cy="2179612"/>
            <wp:effectExtent l="19050" t="0" r="0"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50857" w:rsidP="00CD78AF">
      <w:pPr>
        <w:pStyle w:val="Caption"/>
        <w:contextualSpacing/>
        <w:jc w:val="center"/>
        <w:rPr>
          <w:sz w:val="28"/>
          <w:szCs w:val="28"/>
        </w:rPr>
      </w:pPr>
      <w:bookmarkStart w:id="209" w:name="_Ref262911060"/>
      <w:bookmarkStart w:id="210" w:name="_Toc26367176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108</w:t>
      </w:r>
      <w:r w:rsidR="00D50FDC" w:rsidRPr="00C95F78">
        <w:rPr>
          <w:sz w:val="28"/>
          <w:szCs w:val="28"/>
        </w:rPr>
        <w:fldChar w:fldCharType="end"/>
      </w:r>
      <w:bookmarkEnd w:id="209"/>
      <w:r w:rsidRPr="00C95F78">
        <w:rPr>
          <w:sz w:val="28"/>
          <w:szCs w:val="28"/>
        </w:rPr>
        <w:t>: Smart Ageing, Copper Consumption per Ageing Population Addressed – Base Scenario (kg per Head)</w:t>
      </w:r>
      <w:bookmarkEnd w:id="210"/>
    </w:p>
    <w:p w:rsidR="005A48E2" w:rsidRPr="00C95F78" w:rsidRDefault="00450857" w:rsidP="00BB1A5E">
      <w:pPr>
        <w:spacing w:after="0" w:line="240" w:lineRule="auto"/>
        <w:contextualSpacing/>
        <w:jc w:val="both"/>
      </w:pPr>
      <w:r w:rsidRPr="00C95F78">
        <w:rPr>
          <w:noProof/>
          <w:lang w:val="en-US"/>
        </w:rPr>
        <w:drawing>
          <wp:inline distT="0" distB="0" distL="0" distR="0">
            <wp:extent cx="5831840" cy="2237741"/>
            <wp:effectExtent l="19050" t="0" r="0" b="0"/>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srcRect/>
                    <a:stretch>
                      <a:fillRect/>
                    </a:stretch>
                  </pic:blipFill>
                  <pic:spPr bwMode="auto">
                    <a:xfrm>
                      <a:off x="0" y="0"/>
                      <a:ext cx="5831840" cy="2237741"/>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450857" w:rsidP="00CD78AF">
      <w:pPr>
        <w:pStyle w:val="Caption"/>
        <w:contextualSpacing/>
        <w:jc w:val="center"/>
        <w:rPr>
          <w:sz w:val="28"/>
          <w:szCs w:val="28"/>
        </w:rPr>
      </w:pPr>
      <w:bookmarkStart w:id="211" w:name="_Toc26367176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109</w:t>
      </w:r>
      <w:r w:rsidR="00D50FDC" w:rsidRPr="00C95F78">
        <w:rPr>
          <w:sz w:val="28"/>
          <w:szCs w:val="28"/>
        </w:rPr>
        <w:fldChar w:fldCharType="end"/>
      </w:r>
      <w:r w:rsidRPr="00C95F78">
        <w:rPr>
          <w:sz w:val="28"/>
          <w:szCs w:val="28"/>
        </w:rPr>
        <w:t>: Cumulative Smart Ageing Copper Installation per Total Ageing Population – Base Scenario (kg per Head)</w:t>
      </w:r>
      <w:bookmarkEnd w:id="211"/>
    </w:p>
    <w:p w:rsidR="005A48E2" w:rsidRPr="00C95F78" w:rsidRDefault="00450857" w:rsidP="00BB1A5E">
      <w:pPr>
        <w:spacing w:after="0" w:line="240" w:lineRule="auto"/>
        <w:contextualSpacing/>
        <w:jc w:val="both"/>
      </w:pPr>
      <w:r w:rsidRPr="00C95F78">
        <w:rPr>
          <w:noProof/>
          <w:lang w:val="en-US"/>
        </w:rPr>
        <w:drawing>
          <wp:inline distT="0" distB="0" distL="0" distR="0">
            <wp:extent cx="5831840" cy="2179612"/>
            <wp:effectExtent l="19050" t="0" r="0"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450857" w:rsidP="00BB1A5E">
      <w:pPr>
        <w:spacing w:line="240" w:lineRule="auto"/>
        <w:jc w:val="both"/>
        <w:rPr>
          <w:b/>
          <w:bCs/>
          <w:color w:val="4F81BD" w:themeColor="accent1"/>
          <w:sz w:val="28"/>
          <w:szCs w:val="28"/>
        </w:rPr>
      </w:pPr>
      <w:r w:rsidRPr="00C95F78">
        <w:rPr>
          <w:sz w:val="28"/>
          <w:szCs w:val="28"/>
        </w:rPr>
        <w:br w:type="page"/>
      </w:r>
    </w:p>
    <w:p w:rsidR="004D6789" w:rsidRPr="00C95F78" w:rsidRDefault="00DD1106" w:rsidP="00BB1A5E">
      <w:pPr>
        <w:pStyle w:val="ListParagraph"/>
        <w:numPr>
          <w:ilvl w:val="0"/>
          <w:numId w:val="12"/>
        </w:numPr>
        <w:spacing w:after="120" w:line="240" w:lineRule="auto"/>
        <w:ind w:left="714" w:hanging="357"/>
        <w:contextualSpacing w:val="0"/>
        <w:jc w:val="both"/>
        <w:rPr>
          <w:szCs w:val="20"/>
        </w:rPr>
      </w:pPr>
      <w:r w:rsidRPr="00C95F78">
        <w:rPr>
          <w:szCs w:val="20"/>
        </w:rPr>
        <w:t>Incremental copper use for a full smart ageing system is 16 kg per head.</w:t>
      </w:r>
    </w:p>
    <w:p w:rsidR="004D6789" w:rsidRPr="00C95F78" w:rsidRDefault="00DD1106" w:rsidP="00BB1A5E">
      <w:pPr>
        <w:pStyle w:val="ListParagraph"/>
        <w:numPr>
          <w:ilvl w:val="0"/>
          <w:numId w:val="12"/>
        </w:numPr>
        <w:spacing w:after="120" w:line="240" w:lineRule="auto"/>
        <w:ind w:left="714" w:hanging="357"/>
        <w:contextualSpacing w:val="0"/>
        <w:jc w:val="both"/>
        <w:rPr>
          <w:szCs w:val="20"/>
        </w:rPr>
      </w:pPr>
      <w:r w:rsidRPr="00C95F78">
        <w:rPr>
          <w:szCs w:val="20"/>
        </w:rPr>
        <w:t>The ageing population to be addressed in any one year equals the increase in size of the ageing population in that year plus 2.5% of the existing number of elderly people.</w:t>
      </w:r>
    </w:p>
    <w:p w:rsidR="004D6789" w:rsidRPr="00C95F78" w:rsidRDefault="00DD1106" w:rsidP="00BB1A5E">
      <w:pPr>
        <w:pStyle w:val="ListParagraph"/>
        <w:numPr>
          <w:ilvl w:val="0"/>
          <w:numId w:val="12"/>
        </w:numPr>
        <w:spacing w:after="0" w:line="240" w:lineRule="auto"/>
        <w:jc w:val="both"/>
        <w:rPr>
          <w:szCs w:val="20"/>
        </w:rPr>
      </w:pPr>
      <w:r w:rsidRPr="00C95F78">
        <w:rPr>
          <w:szCs w:val="20"/>
        </w:rPr>
        <w:t>There is a wealth cut off point below which no smart ageing development will take place (assumed to be US$5,000 per head GDP).</w:t>
      </w:r>
    </w:p>
    <w:p w:rsidR="004D6789" w:rsidRPr="00C95F78" w:rsidRDefault="004D6789" w:rsidP="00BB1A5E">
      <w:pPr>
        <w:pStyle w:val="ListParagraph"/>
        <w:spacing w:after="0" w:line="240" w:lineRule="auto"/>
        <w:jc w:val="both"/>
        <w:rPr>
          <w:szCs w:val="20"/>
        </w:rPr>
      </w:pPr>
    </w:p>
    <w:p w:rsidR="004D6789" w:rsidRPr="00C95F78" w:rsidRDefault="00DD1106" w:rsidP="00BB1A5E">
      <w:pPr>
        <w:spacing w:after="0" w:line="240" w:lineRule="auto"/>
        <w:contextualSpacing/>
        <w:jc w:val="both"/>
        <w:rPr>
          <w:szCs w:val="20"/>
        </w:rPr>
      </w:pPr>
      <w:r w:rsidRPr="00C95F78">
        <w:rPr>
          <w:szCs w:val="20"/>
        </w:rPr>
        <w:t xml:space="preserve">The copper per head figure is based on an average floor space per head of 40 m² (assuming some dual occupancy) and a rate of copper use 40 kg per 100 m² above the existing standard (i.e. 70 kg minus 30 kg). The second bullet point is intended to reflect the fact that people are likely to move into smart ageing accommodation on or fairly soon after retirement, but that some others (maybe due to a life changing event such as the death of a partner) will enter the pool of likely candidates at a later stage. </w:t>
      </w:r>
    </w:p>
    <w:p w:rsidR="004D6789" w:rsidRDefault="004D6789" w:rsidP="00BB1A5E">
      <w:pPr>
        <w:spacing w:after="0" w:line="240" w:lineRule="auto"/>
        <w:contextualSpacing/>
        <w:jc w:val="both"/>
        <w:rPr>
          <w:szCs w:val="20"/>
        </w:rPr>
      </w:pPr>
    </w:p>
    <w:p w:rsidR="00A86C48" w:rsidRPr="00C95F78" w:rsidRDefault="00A86C48" w:rsidP="00BB1A5E">
      <w:pPr>
        <w:spacing w:after="0" w:line="240" w:lineRule="auto"/>
        <w:contextualSpacing/>
        <w:jc w:val="both"/>
      </w:pPr>
      <w:r w:rsidRPr="00C95F78">
        <w:rPr>
          <w:szCs w:val="20"/>
        </w:rPr>
        <w:t xml:space="preserve">We then took conservative assumptions as to the rate of penetration of smart ageing systems between now and 2020. Our resulting forecast shows the global copper market in smart ageing rising from an estimate 4.1 kt in 2010 to 42.7 kt in 2020. For Europe, the figures are 1.7 kt and 12.7 kt of copper. </w:t>
      </w:r>
      <w:r w:rsidRPr="00C95F78">
        <w:t xml:space="preserve">As can be seen from </w:t>
      </w:r>
      <w:r w:rsidR="003C7AEB">
        <w:fldChar w:fldCharType="begin"/>
      </w:r>
      <w:r w:rsidR="003C7AEB">
        <w:instrText xml:space="preserve"> REF _Ref262911060 \h  \* MERGEFORMAT </w:instrText>
      </w:r>
      <w:r w:rsidR="003C7AEB">
        <w:fldChar w:fldCharType="separate"/>
      </w:r>
      <w:r w:rsidR="0005759A" w:rsidRPr="0005759A">
        <w:t xml:space="preserve">Figure </w:t>
      </w:r>
      <w:r w:rsidR="0005759A" w:rsidRPr="0005759A">
        <w:rPr>
          <w:noProof/>
        </w:rPr>
        <w:t>108</w:t>
      </w:r>
      <w:r w:rsidR="003C7AEB">
        <w:fldChar w:fldCharType="end"/>
      </w:r>
      <w:r w:rsidRPr="00C95F78">
        <w:t>, our Base Case forecasts show a fairly limited rate of penetration of Smart ageing technology. For 2020, for Europe we show a rate of only 2.8 kg per head of the population addressed in that year, or cumulative installation of only 0.7 kg in relation to the total ageing population (assuming no demolition of smart ageing properties). This implies a penetration rate of full smart ageing installation of only 17% in relation to the population addressed, and only 4% for the ageing population overall. The actual penetration, considering partial smart ageing systems, would be considerably higher.</w:t>
      </w:r>
    </w:p>
    <w:p w:rsidR="00A86C48" w:rsidRPr="00C95F78" w:rsidRDefault="00A86C48" w:rsidP="00BB1A5E">
      <w:pPr>
        <w:spacing w:after="0" w:line="240" w:lineRule="auto"/>
        <w:contextualSpacing/>
        <w:jc w:val="both"/>
        <w:rPr>
          <w:szCs w:val="20"/>
        </w:rPr>
      </w:pPr>
    </w:p>
    <w:p w:rsidR="007D5657" w:rsidRPr="00C95F78" w:rsidRDefault="007D5657" w:rsidP="00BB1A5E">
      <w:pPr>
        <w:spacing w:after="0" w:line="240" w:lineRule="auto"/>
        <w:contextualSpacing/>
        <w:jc w:val="both"/>
      </w:pPr>
    </w:p>
    <w:p w:rsidR="005A48E2" w:rsidRPr="00C95F78" w:rsidRDefault="007D5657" w:rsidP="00CD78AF">
      <w:pPr>
        <w:pStyle w:val="Caption"/>
        <w:contextualSpacing/>
        <w:jc w:val="center"/>
        <w:rPr>
          <w:sz w:val="28"/>
          <w:szCs w:val="28"/>
        </w:rPr>
      </w:pPr>
      <w:bookmarkStart w:id="212" w:name="_Ref262911610"/>
      <w:bookmarkStart w:id="213" w:name="_Toc26367176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110</w:t>
      </w:r>
      <w:r w:rsidR="00D50FDC" w:rsidRPr="00C95F78">
        <w:rPr>
          <w:sz w:val="28"/>
          <w:szCs w:val="28"/>
        </w:rPr>
        <w:fldChar w:fldCharType="end"/>
      </w:r>
      <w:bookmarkEnd w:id="212"/>
      <w:r w:rsidRPr="00C95F78">
        <w:rPr>
          <w:sz w:val="28"/>
          <w:szCs w:val="28"/>
        </w:rPr>
        <w:t>: Advanced Scenario Smart Ageing Copper Use in Europe</w:t>
      </w:r>
      <w:bookmarkEnd w:id="213"/>
    </w:p>
    <w:p w:rsidR="005A48E2" w:rsidRPr="00C95F78" w:rsidRDefault="007D5657" w:rsidP="00BB1A5E">
      <w:pPr>
        <w:spacing w:after="0" w:line="240" w:lineRule="auto"/>
        <w:contextualSpacing/>
        <w:jc w:val="both"/>
      </w:pPr>
      <w:r w:rsidRPr="00C95F78">
        <w:rPr>
          <w:noProof/>
          <w:lang w:val="en-US"/>
        </w:rPr>
        <w:drawing>
          <wp:inline distT="0" distB="0" distL="0" distR="0">
            <wp:extent cx="5831840" cy="3910085"/>
            <wp:effectExtent l="19050" t="0" r="0" b="0"/>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srcRect/>
                    <a:stretch>
                      <a:fillRect/>
                    </a:stretch>
                  </pic:blipFill>
                  <pic:spPr bwMode="auto">
                    <a:xfrm>
                      <a:off x="0" y="0"/>
                      <a:ext cx="5831840" cy="3910085"/>
                    </a:xfrm>
                    <a:prstGeom prst="rect">
                      <a:avLst/>
                    </a:prstGeom>
                    <a:noFill/>
                    <a:ln w="9525">
                      <a:noFill/>
                      <a:miter lim="800000"/>
                      <a:headEnd/>
                      <a:tailEnd/>
                    </a:ln>
                  </pic:spPr>
                </pic:pic>
              </a:graphicData>
            </a:graphic>
          </wp:inline>
        </w:drawing>
      </w:r>
    </w:p>
    <w:p w:rsidR="004D6789" w:rsidRPr="00C95F78" w:rsidRDefault="00450857" w:rsidP="00BB1A5E">
      <w:pPr>
        <w:spacing w:line="240" w:lineRule="auto"/>
        <w:jc w:val="both"/>
        <w:rPr>
          <w:rFonts w:eastAsiaTheme="majorEastAsia" w:cstheme="majorBidi"/>
          <w:b/>
          <w:bCs/>
          <w:color w:val="365F91" w:themeColor="accent1" w:themeShade="BF"/>
          <w:sz w:val="30"/>
          <w:szCs w:val="30"/>
        </w:rPr>
      </w:pPr>
      <w:r w:rsidRPr="00C95F78">
        <w:rPr>
          <w:color w:val="365F91" w:themeColor="accent1" w:themeShade="BF"/>
          <w:sz w:val="30"/>
          <w:szCs w:val="30"/>
        </w:rPr>
        <w:br w:type="page"/>
      </w:r>
    </w:p>
    <w:p w:rsidR="005A48E2" w:rsidRPr="00C95F78" w:rsidRDefault="00DD1106" w:rsidP="00BB1A5E">
      <w:pPr>
        <w:spacing w:after="0" w:line="240" w:lineRule="auto"/>
        <w:contextualSpacing/>
        <w:jc w:val="both"/>
      </w:pPr>
      <w:r w:rsidRPr="00C95F78">
        <w:t xml:space="preserve">While we consider the Base Case scenario realistic taking into account the lack of any sign of major government initiatives to ensure full development, it is possible that smart ageing programmes might accelerate much faster than we assume. To reflect this, in </w:t>
      </w:r>
      <w:r w:rsidR="003C7AEB">
        <w:fldChar w:fldCharType="begin"/>
      </w:r>
      <w:r w:rsidR="003C7AEB">
        <w:instrText xml:space="preserve"> REF _Ref262911610 \h  \* MERGEFORMAT </w:instrText>
      </w:r>
      <w:r w:rsidR="003C7AEB">
        <w:fldChar w:fldCharType="separate"/>
      </w:r>
      <w:r w:rsidR="0005759A" w:rsidRPr="0005759A">
        <w:t>Figure 110</w:t>
      </w:r>
      <w:r w:rsidR="003C7AEB">
        <w:fldChar w:fldCharType="end"/>
      </w:r>
      <w:r w:rsidRPr="00C95F78">
        <w:t xml:space="preserve"> we show an advanced smart ageing copper scenario for Europe. In this we indicate a European market of 41 kt in 2020. </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To achieve such a high rate of installation towards the end of the decade would have to be very high indeed. In our forecast we show 9.1 kt per head of population addressed in 2020. Bearing in mind that full smart ageing installation would give us an incremental 16 per head, to achieve such high levels of copper use there would need to be a huge and well resourced programme of installation starting mid-decade, or earlier.</w:t>
      </w:r>
    </w:p>
    <w:p w:rsidR="005A48E2" w:rsidRPr="00C95F78" w:rsidRDefault="005A48E2" w:rsidP="00BB1A5E">
      <w:pPr>
        <w:spacing w:after="0" w:line="240" w:lineRule="auto"/>
        <w:contextualSpacing/>
        <w:jc w:val="both"/>
      </w:pPr>
    </w:p>
    <w:p w:rsidR="005A48E2" w:rsidRPr="00C95F78" w:rsidRDefault="00DD1106" w:rsidP="00BB1A5E">
      <w:pPr>
        <w:spacing w:after="0" w:line="240" w:lineRule="auto"/>
        <w:contextualSpacing/>
        <w:jc w:val="both"/>
      </w:pPr>
      <w:r w:rsidRPr="00C95F78">
        <w:t>Whichever forecast is taken to be more accurate, the bulk of the potential is in energy cables. There will be a significant additional market in winding wire in motors, and also mill products (primarily strip) in switches, sockets and electronic devices.</w:t>
      </w:r>
    </w:p>
    <w:p w:rsidR="005A48E2" w:rsidRPr="00C95F78" w:rsidRDefault="005A48E2" w:rsidP="00BB1A5E">
      <w:pPr>
        <w:spacing w:after="0" w:line="240" w:lineRule="auto"/>
        <w:contextualSpacing/>
        <w:jc w:val="both"/>
      </w:pPr>
    </w:p>
    <w:p w:rsidR="005A48E2" w:rsidRPr="00C95F78" w:rsidRDefault="00977A11"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Non Wiring System New Premise Markets</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2F0C74" w:rsidP="00BB1A5E">
      <w:pPr>
        <w:spacing w:after="0" w:line="240" w:lineRule="auto"/>
        <w:contextualSpacing/>
        <w:jc w:val="both"/>
        <w:rPr>
          <w:rFonts w:eastAsia="Calibri" w:cs="Times New Roman"/>
          <w:szCs w:val="20"/>
        </w:rPr>
      </w:pPr>
      <w:r w:rsidRPr="00C95F78">
        <w:rPr>
          <w:rFonts w:eastAsia="Calibri" w:cs="Times New Roman"/>
          <w:szCs w:val="20"/>
        </w:rPr>
        <w:t>Some of the systems required to enable green technologies can have a copper content that considerably exceeds that required just for the wire content.</w:t>
      </w:r>
    </w:p>
    <w:p w:rsidR="005A48E2" w:rsidRPr="00C95F78" w:rsidRDefault="005A48E2" w:rsidP="00BB1A5E">
      <w:pPr>
        <w:spacing w:after="0" w:line="240" w:lineRule="auto"/>
        <w:contextualSpacing/>
        <w:jc w:val="both"/>
        <w:rPr>
          <w:rFonts w:eastAsia="Calibri" w:cs="Times New Roman"/>
          <w:szCs w:val="20"/>
        </w:rPr>
      </w:pPr>
    </w:p>
    <w:p w:rsidR="002F0C74" w:rsidRPr="00C95F78" w:rsidRDefault="00421B37" w:rsidP="00BB1A5E">
      <w:pPr>
        <w:spacing w:after="0" w:line="240" w:lineRule="auto"/>
        <w:contextualSpacing/>
        <w:jc w:val="both"/>
        <w:rPr>
          <w:rFonts w:eastAsia="Calibri" w:cs="Times New Roman"/>
          <w:szCs w:val="20"/>
        </w:rPr>
      </w:pPr>
      <w:r w:rsidRPr="00C95F78">
        <w:rPr>
          <w:rFonts w:eastAsia="Calibri" w:cs="Times New Roman"/>
          <w:szCs w:val="20"/>
        </w:rPr>
        <w:t>The technologies are mainly concerned with the exchange of heat between the outside of the house and the inside, and the capture of heat within the property, in order to regulate the temperature of the living space. The components required include motor driven systems (pumps and compressors), heat exchangers and piping. The motors and systems will include a significant amount of winding wire, while the heat exchangers may contain copper tube, and the piping may also be of copper tube.</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6505E5" w:rsidP="00BB1A5E">
      <w:pPr>
        <w:spacing w:after="0" w:line="240" w:lineRule="auto"/>
        <w:contextualSpacing/>
        <w:jc w:val="both"/>
        <w:rPr>
          <w:rFonts w:eastAsia="Calibri" w:cs="Times New Roman"/>
          <w:szCs w:val="20"/>
        </w:rPr>
      </w:pPr>
      <w:r w:rsidRPr="00C95F78">
        <w:rPr>
          <w:rFonts w:eastAsia="Calibri" w:cs="Times New Roman"/>
          <w:szCs w:val="20"/>
        </w:rPr>
        <w:t xml:space="preserve">An air source heat pump, for example, consists of four main components: the compressor, expansion valve, and two heat exchangers, one to absorb heat from the heat source and one to reject the heat. The enclosed cycle utilises liquid refrigerants to ensure a high level of heat transfer. The heat thus captured is transferred to </w:t>
      </w:r>
      <w:r w:rsidR="00024ACF" w:rsidRPr="00C95F78">
        <w:rPr>
          <w:rFonts w:eastAsia="Calibri" w:cs="Times New Roman"/>
          <w:szCs w:val="20"/>
        </w:rPr>
        <w:t xml:space="preserve">the water circulating in the under-floor heating, radiators or fan coil units and also to the domestic hot water tank. </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024ACF" w:rsidP="00BB1A5E">
      <w:pPr>
        <w:spacing w:after="0" w:line="240" w:lineRule="auto"/>
        <w:contextualSpacing/>
        <w:jc w:val="both"/>
        <w:rPr>
          <w:rFonts w:eastAsia="Calibri" w:cs="Times New Roman"/>
          <w:szCs w:val="20"/>
        </w:rPr>
      </w:pPr>
      <w:r w:rsidRPr="00C95F78">
        <w:rPr>
          <w:rFonts w:eastAsia="Calibri" w:cs="Times New Roman"/>
          <w:szCs w:val="20"/>
        </w:rPr>
        <w:t xml:space="preserve">To work effectively as a water heating system, the heat pump may be associated with a specially designed water tank, incorporating a heat pump heat exchanger. Air source heat pumps can work best in association with </w:t>
      </w:r>
      <w:r w:rsidR="006505E5" w:rsidRPr="00C95F78">
        <w:rPr>
          <w:rFonts w:eastAsia="Calibri" w:cs="Times New Roman"/>
          <w:szCs w:val="20"/>
        </w:rPr>
        <w:t>solar panel-based heating, allowing the system to switch to heat from the panels when available. This requires a separate pump and piping from the panel to the water tank.</w:t>
      </w:r>
      <w:r w:rsidR="00B205A3" w:rsidRPr="00C95F78">
        <w:rPr>
          <w:rFonts w:eastAsia="Calibri" w:cs="Times New Roman"/>
          <w:szCs w:val="20"/>
        </w:rPr>
        <w:t xml:space="preserve"> Alternatively, solar panel water heating may operate separately from an air source heat pump.</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B205A3" w:rsidP="00BB1A5E">
      <w:pPr>
        <w:spacing w:after="0" w:line="240" w:lineRule="auto"/>
        <w:contextualSpacing/>
        <w:jc w:val="both"/>
        <w:rPr>
          <w:rFonts w:eastAsia="Calibri" w:cs="Times New Roman"/>
          <w:szCs w:val="20"/>
        </w:rPr>
      </w:pPr>
      <w:r w:rsidRPr="00C95F78">
        <w:rPr>
          <w:rFonts w:eastAsia="Calibri" w:cs="Times New Roman"/>
          <w:szCs w:val="20"/>
        </w:rPr>
        <w:t xml:space="preserve">Geothermal heat pumps are similar in principal to the air source heat pump, in this case capturing the heat differential between ground and air. In this case, in addition pipes into the ground are required. These are typically 200 mm diameter, and around 40 m long, buried at 1.5 m in the soil. Although potentially a market for copper, the corrosive environment of the soil makes stainless steel the preferred option for these pipes. </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B205A3" w:rsidP="00BB1A5E">
      <w:pPr>
        <w:spacing w:after="0" w:line="240" w:lineRule="auto"/>
        <w:contextualSpacing/>
        <w:jc w:val="both"/>
        <w:rPr>
          <w:rFonts w:eastAsia="Calibri" w:cs="Times New Roman"/>
          <w:szCs w:val="20"/>
        </w:rPr>
      </w:pPr>
      <w:r w:rsidRPr="00C95F78">
        <w:rPr>
          <w:rFonts w:eastAsia="Calibri" w:cs="Times New Roman"/>
          <w:szCs w:val="20"/>
        </w:rPr>
        <w:t>Alternative heat recovery systems based on internal heat sources, for example refrigerator exhaust, again require motors and pumps, as does rainwater recovery. Additionally, there is some market for copper in building insulation materials, designed to minimise heat loss</w:t>
      </w:r>
      <w:r w:rsidR="00EF777A" w:rsidRPr="00C95F78">
        <w:rPr>
          <w:rFonts w:eastAsia="Calibri" w:cs="Times New Roman"/>
          <w:szCs w:val="20"/>
        </w:rPr>
        <w:t xml:space="preserve"> and overheating of the building. Swiss company Atmova has recently released a copper-alloy roof covering that uses solar energy to provide heating and hot water.</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EF777A" w:rsidP="00BB1A5E">
      <w:pPr>
        <w:spacing w:after="0" w:line="240" w:lineRule="auto"/>
        <w:contextualSpacing/>
        <w:jc w:val="both"/>
        <w:rPr>
          <w:rFonts w:eastAsia="Calibri" w:cs="Times New Roman"/>
          <w:szCs w:val="20"/>
        </w:rPr>
      </w:pPr>
      <w:r w:rsidRPr="00C95F78">
        <w:rPr>
          <w:rFonts w:eastAsia="Calibri" w:cs="Times New Roman"/>
          <w:szCs w:val="20"/>
        </w:rPr>
        <w:t>Longer term, copper may have a much greater role in heat management through the selection of building materials. Copper foam combined with phase change material has been proposed as a means to improve energy efficiency in buildings by storage and release of thermal energy for constant heat with reduced energy input. Also on the drawing board, should copper film based CIGs solar panels become much cheaper, is a standard installation of CIGs panels as part of the fabric of new buildings. Such developments, however, are a long way off commercialisation.</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EF777A" w:rsidP="00BB1A5E">
      <w:pPr>
        <w:spacing w:after="0" w:line="240" w:lineRule="auto"/>
        <w:contextualSpacing/>
        <w:jc w:val="both"/>
        <w:rPr>
          <w:rFonts w:eastAsia="Calibri" w:cs="Times New Roman"/>
          <w:szCs w:val="20"/>
        </w:rPr>
      </w:pPr>
      <w:r w:rsidRPr="00C95F78">
        <w:rPr>
          <w:rFonts w:eastAsia="Calibri" w:cs="Times New Roman"/>
          <w:szCs w:val="20"/>
        </w:rPr>
        <w:t xml:space="preserve">In the heat pump market, also, there is one interesting development that as yet is some way from commercialisation. This is the use of copper micro-channel tube for </w:t>
      </w:r>
      <w:r w:rsidR="0025619F" w:rsidRPr="00C95F78">
        <w:rPr>
          <w:rFonts w:eastAsia="Calibri" w:cs="Times New Roman"/>
          <w:szCs w:val="20"/>
        </w:rPr>
        <w:t xml:space="preserve">heat exchangers in air source and geothermal </w:t>
      </w:r>
      <w:r w:rsidRPr="00C95F78">
        <w:rPr>
          <w:rFonts w:eastAsia="Calibri" w:cs="Times New Roman"/>
          <w:szCs w:val="20"/>
        </w:rPr>
        <w:t xml:space="preserve">heat pump systems. </w:t>
      </w:r>
      <w:r w:rsidR="0025619F" w:rsidRPr="00C95F78">
        <w:rPr>
          <w:rFonts w:eastAsia="Calibri" w:cs="Times New Roman"/>
          <w:szCs w:val="20"/>
        </w:rPr>
        <w:t>Micro-channel tube offers an advantage in improved efficiency, but at present the technology is only commercialised for aluminium. The refrigerants used in heat pump systems make the use of aluminium inappropriate, hence the interest in copper. A copper based micro-channel systems was developed in Norway around ten years ago, the patent for which has been bought by the Japanese company Denso.</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AA0EA9" w:rsidP="00BB1A5E">
      <w:pPr>
        <w:spacing w:after="0" w:line="240" w:lineRule="auto"/>
        <w:contextualSpacing/>
        <w:jc w:val="both"/>
        <w:rPr>
          <w:rFonts w:eastAsia="Calibri" w:cs="Times New Roman"/>
          <w:szCs w:val="20"/>
        </w:rPr>
      </w:pPr>
      <w:r w:rsidRPr="00C95F78">
        <w:rPr>
          <w:rFonts w:eastAsia="Calibri" w:cs="Times New Roman"/>
          <w:szCs w:val="20"/>
        </w:rPr>
        <w:t>In the following forecasts, we look only at the established technologies, which are based around pump systems. Much of this market for copper is associated with non-electrical items, in particular copper tube in heat exchangers and for distribution. We therefore identify the market for heat pumps separately from the total non wiring system new premise market.</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AA0EA9" w:rsidP="00BB1A5E">
      <w:pPr>
        <w:spacing w:after="0" w:line="240" w:lineRule="auto"/>
        <w:contextualSpacing/>
        <w:jc w:val="both"/>
        <w:rPr>
          <w:rFonts w:eastAsia="Calibri" w:cs="Times New Roman"/>
          <w:szCs w:val="20"/>
        </w:rPr>
      </w:pPr>
      <w:r w:rsidRPr="00C95F78">
        <w:rPr>
          <w:rFonts w:eastAsia="Calibri" w:cs="Times New Roman"/>
          <w:szCs w:val="20"/>
        </w:rPr>
        <w:t xml:space="preserve">Figures issued by the European Heat Pump Association (EHPA) provide a base line for estimating the size of the market for heat pumps. The industry association estimates </w:t>
      </w:r>
      <w:r w:rsidR="00D14A68" w:rsidRPr="00C95F78">
        <w:rPr>
          <w:rFonts w:eastAsia="Calibri" w:cs="Times New Roman"/>
          <w:szCs w:val="20"/>
        </w:rPr>
        <w:t>that in 2007</w:t>
      </w:r>
      <w:r w:rsidR="004D6789" w:rsidRPr="00C95F78">
        <w:rPr>
          <w:rFonts w:eastAsia="Calibri" w:cs="Times New Roman"/>
          <w:szCs w:val="20"/>
        </w:rPr>
        <w:t xml:space="preserve"> </w:t>
      </w:r>
      <w:r w:rsidR="00D14A68" w:rsidRPr="00C95F78">
        <w:rPr>
          <w:rFonts w:eastAsia="Calibri" w:cs="Times New Roman"/>
          <w:szCs w:val="20"/>
        </w:rPr>
        <w:t>a total of 393,000 heat pumps were sold in eight countries of Eur</w:t>
      </w:r>
      <w:r w:rsidR="00C95F78" w:rsidRPr="00C95F78">
        <w:rPr>
          <w:rFonts w:eastAsia="Calibri" w:cs="Times New Roman"/>
          <w:szCs w:val="20"/>
        </w:rPr>
        <w:t xml:space="preserve">ope. This was </w:t>
      </w:r>
      <w:r w:rsidR="00D14A68" w:rsidRPr="00C95F78">
        <w:rPr>
          <w:rFonts w:eastAsia="Calibri" w:cs="Times New Roman"/>
          <w:szCs w:val="20"/>
        </w:rPr>
        <w:t xml:space="preserve">6% </w:t>
      </w:r>
      <w:r w:rsidR="00C95F78" w:rsidRPr="00C95F78">
        <w:rPr>
          <w:rFonts w:eastAsia="Calibri" w:cs="Times New Roman"/>
          <w:szCs w:val="20"/>
        </w:rPr>
        <w:t>than in</w:t>
      </w:r>
      <w:r w:rsidR="00D14A68" w:rsidRPr="00C95F78">
        <w:rPr>
          <w:rFonts w:eastAsia="Calibri" w:cs="Times New Roman"/>
          <w:szCs w:val="20"/>
        </w:rPr>
        <w:t xml:space="preserve"> the previous year. As some major markets were missing from the figures, including the UK, we estimate the total </w:t>
      </w:r>
      <w:r w:rsidR="00C95F78" w:rsidRPr="00C95F78">
        <w:rPr>
          <w:rFonts w:eastAsia="Calibri" w:cs="Times New Roman"/>
          <w:szCs w:val="20"/>
        </w:rPr>
        <w:t>number of heat pumps sold in Europe in 2007 was n</w:t>
      </w:r>
      <w:r w:rsidR="00D14A68" w:rsidRPr="00C95F78">
        <w:rPr>
          <w:rFonts w:eastAsia="Calibri" w:cs="Times New Roman"/>
          <w:szCs w:val="20"/>
        </w:rPr>
        <w:t xml:space="preserve">early 600,000 units. </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D14A68" w:rsidP="00BB1A5E">
      <w:pPr>
        <w:spacing w:after="0" w:line="240" w:lineRule="auto"/>
        <w:contextualSpacing/>
        <w:jc w:val="both"/>
        <w:rPr>
          <w:rFonts w:eastAsia="Calibri" w:cs="Times New Roman"/>
          <w:szCs w:val="20"/>
        </w:rPr>
      </w:pPr>
      <w:r w:rsidRPr="00C95F78">
        <w:rPr>
          <w:rFonts w:eastAsia="Calibri" w:cs="Times New Roman"/>
          <w:szCs w:val="20"/>
        </w:rPr>
        <w:t>Of the heat pumps identified by the EHPA, slightly over half (55%) were reversible air to air units, which are generally small in comparison to other types. The remainder of the market is comprises of other air to air and air to water systems (22%), ground to air systems (25%) and exhaust systems (8%). Sweden is the biggest market in Europe, with large sales also in Norway, France and Germany. The Scandinavian systems are generally for heating only, while in hotter countries many systems are used for cooling also.</w:t>
      </w:r>
    </w:p>
    <w:p w:rsidR="005A48E2" w:rsidRPr="00C95F78" w:rsidRDefault="005A48E2" w:rsidP="00BB1A5E">
      <w:pPr>
        <w:spacing w:after="0" w:line="240" w:lineRule="auto"/>
        <w:contextualSpacing/>
        <w:jc w:val="both"/>
        <w:rPr>
          <w:rFonts w:eastAsia="Calibri" w:cs="Times New Roman"/>
          <w:szCs w:val="20"/>
        </w:rPr>
      </w:pPr>
    </w:p>
    <w:p w:rsidR="005A48E2" w:rsidRPr="00C95F78" w:rsidRDefault="00677C06" w:rsidP="00BB1A5E">
      <w:pPr>
        <w:spacing w:after="0" w:line="240" w:lineRule="auto"/>
        <w:contextualSpacing/>
        <w:jc w:val="both"/>
        <w:rPr>
          <w:rFonts w:eastAsia="Calibri" w:cs="Times New Roman"/>
          <w:szCs w:val="20"/>
        </w:rPr>
      </w:pPr>
      <w:r w:rsidRPr="00C95F78">
        <w:rPr>
          <w:rFonts w:eastAsia="Calibri" w:cs="Times New Roman"/>
          <w:szCs w:val="20"/>
        </w:rPr>
        <w:t>While the heat pump market is well developed in a few countries (especially Sweden) and in the single family new build residential sector, large potential markets are virtually untapped. These include multi-family residential new builds, all residential renovation and all commercial building markets. With the development of better heat retention in the home as Passivhaus concepts penetrate, an especially large potential is seen in exhaust system heat pumps, using heat generated in the premise.</w:t>
      </w:r>
    </w:p>
    <w:p w:rsidR="005A48E2" w:rsidRPr="00C95F78" w:rsidRDefault="005A48E2" w:rsidP="00BB1A5E">
      <w:pPr>
        <w:spacing w:after="0" w:line="240" w:lineRule="auto"/>
        <w:contextualSpacing/>
        <w:jc w:val="both"/>
        <w:rPr>
          <w:rFonts w:eastAsia="Calibri" w:cs="Times New Roman"/>
          <w:szCs w:val="20"/>
        </w:rPr>
      </w:pPr>
    </w:p>
    <w:p w:rsidR="004D6789" w:rsidRDefault="00677C06" w:rsidP="00BB1A5E">
      <w:pPr>
        <w:spacing w:after="0" w:line="240" w:lineRule="auto"/>
        <w:contextualSpacing/>
        <w:jc w:val="both"/>
        <w:rPr>
          <w:rFonts w:eastAsia="Calibri" w:cs="Times New Roman"/>
          <w:szCs w:val="20"/>
        </w:rPr>
      </w:pPr>
      <w:r w:rsidRPr="00C95F78">
        <w:rPr>
          <w:rFonts w:eastAsia="Calibri" w:cs="Times New Roman"/>
          <w:szCs w:val="20"/>
        </w:rPr>
        <w:t xml:space="preserve">Our estimates of heat pump market size for copper, and forecasts, are based on an assumed 3 kg of copper per heat pump. This gives us a current market in Europe of 2.9 kt, conservatively estimated to rise to 4.8 kt by 2020. Worldwide, the market is forecast to grow from 11 ktpy to 23 ktpy. </w:t>
      </w:r>
    </w:p>
    <w:p w:rsidR="00A86C48" w:rsidRDefault="00A86C48" w:rsidP="00BB1A5E">
      <w:pPr>
        <w:spacing w:after="0" w:line="240" w:lineRule="auto"/>
        <w:contextualSpacing/>
        <w:jc w:val="both"/>
        <w:rPr>
          <w:rFonts w:eastAsia="Calibri" w:cs="Times New Roman"/>
          <w:szCs w:val="20"/>
        </w:rPr>
      </w:pPr>
    </w:p>
    <w:p w:rsidR="00A86C48" w:rsidRPr="00C95F78" w:rsidRDefault="00A86C48" w:rsidP="00BB1A5E">
      <w:pPr>
        <w:spacing w:after="0" w:line="240" w:lineRule="auto"/>
        <w:contextualSpacing/>
        <w:jc w:val="both"/>
      </w:pPr>
      <w:r w:rsidRPr="00C95F78">
        <w:t xml:space="preserve">The strictly electrical market for heat pumps identified in </w:t>
      </w:r>
      <w:r w:rsidR="003C7AEB">
        <w:fldChar w:fldCharType="begin"/>
      </w:r>
      <w:r w:rsidR="003C7AEB">
        <w:instrText xml:space="preserve"> REF _Ref263070763 \h  \* MERGEFORMAT </w:instrText>
      </w:r>
      <w:r w:rsidR="003C7AEB">
        <w:fldChar w:fldCharType="separate"/>
      </w:r>
      <w:r w:rsidR="0005759A" w:rsidRPr="0005759A">
        <w:t xml:space="preserve">Figure </w:t>
      </w:r>
      <w:r w:rsidR="0005759A" w:rsidRPr="0005759A">
        <w:rPr>
          <w:noProof/>
        </w:rPr>
        <w:t>111</w:t>
      </w:r>
      <w:r w:rsidR="003C7AEB">
        <w:fldChar w:fldCharType="end"/>
      </w:r>
      <w:r w:rsidRPr="00C95F78">
        <w:t xml:space="preserve"> is dominated by winding wire. Looking at the broader heat pump-based system market, we forecast a doubling of current global copper use from 37 kt in 2010 to 82 kt in 2020. Most of the additional copper is accounted for by copper tube (see </w:t>
      </w:r>
      <w:r w:rsidR="003C7AEB">
        <w:fldChar w:fldCharType="begin"/>
      </w:r>
      <w:r w:rsidR="003C7AEB">
        <w:instrText xml:space="preserve"> REF _Ref263070811 \h  \* MERGEFORMAT </w:instrText>
      </w:r>
      <w:r w:rsidR="003C7AEB">
        <w:fldChar w:fldCharType="separate"/>
      </w:r>
      <w:r w:rsidR="0005759A" w:rsidRPr="0005759A">
        <w:t xml:space="preserve">Figure </w:t>
      </w:r>
      <w:r w:rsidR="0005759A" w:rsidRPr="0005759A">
        <w:rPr>
          <w:noProof/>
        </w:rPr>
        <w:t>112</w:t>
      </w:r>
      <w:r w:rsidR="003C7AEB">
        <w:fldChar w:fldCharType="end"/>
      </w:r>
      <w:r w:rsidRPr="00C95F78">
        <w:t>).</w:t>
      </w:r>
    </w:p>
    <w:p w:rsidR="00A86C48" w:rsidRPr="00C95F78" w:rsidRDefault="00A86C48" w:rsidP="00BB1A5E">
      <w:pPr>
        <w:spacing w:after="0" w:line="240" w:lineRule="auto"/>
        <w:contextualSpacing/>
        <w:jc w:val="both"/>
        <w:rPr>
          <w:rFonts w:eastAsia="Calibri" w:cs="Times New Roman"/>
          <w:szCs w:val="20"/>
        </w:rPr>
      </w:pPr>
    </w:p>
    <w:p w:rsidR="004D6789" w:rsidRPr="00C95F78" w:rsidRDefault="004D6789" w:rsidP="00BB1A5E">
      <w:pPr>
        <w:spacing w:line="240" w:lineRule="auto"/>
        <w:jc w:val="both"/>
        <w:rPr>
          <w:rFonts w:eastAsia="Calibri" w:cs="Times New Roman"/>
          <w:szCs w:val="20"/>
        </w:rPr>
      </w:pPr>
      <w:r w:rsidRPr="00C95F78">
        <w:rPr>
          <w:rFonts w:eastAsia="Calibri" w:cs="Times New Roman"/>
          <w:szCs w:val="20"/>
        </w:rPr>
        <w:br w:type="page"/>
      </w:r>
    </w:p>
    <w:p w:rsidR="005A48E2" w:rsidRPr="00C95F78" w:rsidRDefault="00AA0EA9" w:rsidP="00CD78AF">
      <w:pPr>
        <w:pStyle w:val="Caption"/>
        <w:contextualSpacing/>
        <w:jc w:val="center"/>
        <w:rPr>
          <w:sz w:val="28"/>
          <w:szCs w:val="28"/>
        </w:rPr>
      </w:pPr>
      <w:bookmarkStart w:id="214" w:name="_Ref263070763"/>
      <w:bookmarkStart w:id="215" w:name="_Toc26367176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111</w:t>
      </w:r>
      <w:r w:rsidR="00D50FDC" w:rsidRPr="00C95F78">
        <w:rPr>
          <w:sz w:val="28"/>
          <w:szCs w:val="28"/>
        </w:rPr>
        <w:fldChar w:fldCharType="end"/>
      </w:r>
      <w:bookmarkEnd w:id="214"/>
      <w:r w:rsidRPr="00C95F78">
        <w:rPr>
          <w:sz w:val="28"/>
          <w:szCs w:val="28"/>
        </w:rPr>
        <w:t>: Forecast</w:t>
      </w:r>
      <w:r w:rsidR="00C1365B" w:rsidRPr="00C95F78">
        <w:rPr>
          <w:sz w:val="28"/>
          <w:szCs w:val="28"/>
        </w:rPr>
        <w:t xml:space="preserve"> Copper in Heat Pumps</w:t>
      </w:r>
      <w:r w:rsidRPr="00C95F78">
        <w:rPr>
          <w:sz w:val="28"/>
          <w:szCs w:val="28"/>
        </w:rPr>
        <w:t xml:space="preserve"> (kt Cu)</w:t>
      </w:r>
      <w:bookmarkEnd w:id="215"/>
    </w:p>
    <w:p w:rsidR="005A48E2" w:rsidRPr="00C95F78" w:rsidRDefault="00AA0EA9" w:rsidP="00BB1A5E">
      <w:pPr>
        <w:spacing w:after="0" w:line="240" w:lineRule="auto"/>
        <w:contextualSpacing/>
        <w:jc w:val="both"/>
      </w:pPr>
      <w:r w:rsidRPr="00C95F78">
        <w:rPr>
          <w:noProof/>
          <w:lang w:val="en-US"/>
        </w:rPr>
        <w:drawing>
          <wp:inline distT="0" distB="0" distL="0" distR="0">
            <wp:extent cx="5831840" cy="2179612"/>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AA0EA9" w:rsidP="00CD78AF">
      <w:pPr>
        <w:pStyle w:val="Caption"/>
        <w:jc w:val="center"/>
        <w:rPr>
          <w:sz w:val="28"/>
          <w:szCs w:val="28"/>
        </w:rPr>
      </w:pPr>
      <w:bookmarkStart w:id="216" w:name="_Ref263070811"/>
      <w:bookmarkStart w:id="217" w:name="_Toc26367176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112</w:t>
      </w:r>
      <w:r w:rsidR="00D50FDC" w:rsidRPr="00C95F78">
        <w:rPr>
          <w:sz w:val="28"/>
          <w:szCs w:val="28"/>
        </w:rPr>
        <w:fldChar w:fldCharType="end"/>
      </w:r>
      <w:bookmarkEnd w:id="216"/>
      <w:r w:rsidRPr="00C95F78">
        <w:rPr>
          <w:sz w:val="28"/>
          <w:szCs w:val="28"/>
        </w:rPr>
        <w:t>: Forecast Total Copper Use in Heat Pump Based and Other Green Technology Systems (kt Cu)</w:t>
      </w:r>
      <w:bookmarkEnd w:id="217"/>
    </w:p>
    <w:p w:rsidR="005A48E2" w:rsidRPr="00C95F78" w:rsidRDefault="00AA0EA9" w:rsidP="00BB1A5E">
      <w:pPr>
        <w:pStyle w:val="Caption"/>
        <w:jc w:val="both"/>
      </w:pPr>
      <w:r w:rsidRPr="00C95F78">
        <w:rPr>
          <w:noProof/>
          <w:lang w:val="en-US"/>
        </w:rPr>
        <w:drawing>
          <wp:inline distT="0" distB="0" distL="0" distR="0">
            <wp:extent cx="5831840" cy="2179612"/>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srcRect/>
                    <a:stretch>
                      <a:fillRect/>
                    </a:stretch>
                  </pic:blipFill>
                  <pic:spPr bwMode="auto">
                    <a:xfrm>
                      <a:off x="0" y="0"/>
                      <a:ext cx="5831840" cy="2179612"/>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4D6789" w:rsidRPr="00C95F78" w:rsidRDefault="0064083B" w:rsidP="00BB1A5E">
      <w:pPr>
        <w:pStyle w:val="Heading2"/>
        <w:numPr>
          <w:ilvl w:val="1"/>
          <w:numId w:val="1"/>
        </w:numPr>
        <w:spacing w:before="0" w:line="240" w:lineRule="auto"/>
        <w:ind w:left="0" w:firstLine="0"/>
        <w:contextualSpacing/>
        <w:jc w:val="both"/>
        <w:rPr>
          <w:rFonts w:asciiTheme="minorHAnsi" w:hAnsiTheme="minorHAnsi"/>
          <w:color w:val="365F91" w:themeColor="accent1" w:themeShade="BF"/>
          <w:sz w:val="30"/>
          <w:szCs w:val="30"/>
        </w:rPr>
      </w:pPr>
      <w:bookmarkStart w:id="218" w:name="_Ref262805008"/>
      <w:bookmarkStart w:id="219" w:name="_Toc263688619"/>
      <w:r w:rsidRPr="00C95F78">
        <w:rPr>
          <w:rFonts w:asciiTheme="minorHAnsi" w:hAnsiTheme="minorHAnsi"/>
          <w:color w:val="365F91" w:themeColor="accent1" w:themeShade="BF"/>
          <w:sz w:val="30"/>
          <w:szCs w:val="30"/>
        </w:rPr>
        <w:t>Equipment and Cross Market Technologies</w:t>
      </w:r>
      <w:bookmarkEnd w:id="218"/>
      <w:bookmarkEnd w:id="219"/>
    </w:p>
    <w:p w:rsidR="005A48E2" w:rsidRPr="00C95F78" w:rsidRDefault="005A48E2" w:rsidP="00BB1A5E">
      <w:pPr>
        <w:spacing w:after="0" w:line="240" w:lineRule="auto"/>
        <w:contextualSpacing/>
        <w:jc w:val="both"/>
      </w:pPr>
    </w:p>
    <w:p w:rsidR="004D6789" w:rsidRPr="00C95F78" w:rsidRDefault="00631000"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20" w:name="_Toc263688620"/>
      <w:r w:rsidRPr="00C95F78">
        <w:rPr>
          <w:rFonts w:asciiTheme="minorHAnsi" w:hAnsiTheme="minorHAnsi"/>
          <w:color w:val="365F91" w:themeColor="accent1" w:themeShade="BF"/>
          <w:sz w:val="26"/>
          <w:szCs w:val="26"/>
        </w:rPr>
        <w:t>Sector Background</w:t>
      </w:r>
      <w:bookmarkEnd w:id="220"/>
    </w:p>
    <w:p w:rsidR="005A48E2" w:rsidRPr="00C95F78" w:rsidRDefault="005A48E2" w:rsidP="00BB1A5E">
      <w:pPr>
        <w:spacing w:after="0" w:line="240" w:lineRule="auto"/>
        <w:contextualSpacing/>
        <w:jc w:val="both"/>
      </w:pPr>
    </w:p>
    <w:p w:rsidR="005A48E2" w:rsidRPr="00C95F78" w:rsidRDefault="00D11AEF" w:rsidP="00BB1A5E">
      <w:pPr>
        <w:spacing w:after="0" w:line="240" w:lineRule="auto"/>
        <w:contextualSpacing/>
        <w:jc w:val="both"/>
      </w:pPr>
      <w:r w:rsidRPr="00C95F78">
        <w:t>Increased energy efficiency and functionality will feature in equipment of all types over time. With society’s focus on reducing CO</w:t>
      </w:r>
      <w:r w:rsidR="00F01D0F" w:rsidRPr="00F01D0F">
        <w:rPr>
          <w:vertAlign w:val="subscript"/>
        </w:rPr>
        <w:t>2</w:t>
      </w:r>
      <w:r w:rsidRPr="00C95F78">
        <w:t xml:space="preserve"> emissions and achieving a sustainable energy future, energy efficiency will be particularly in favour. </w:t>
      </w:r>
    </w:p>
    <w:p w:rsidR="005A48E2" w:rsidRPr="00C95F78" w:rsidRDefault="005A48E2" w:rsidP="00BB1A5E">
      <w:pPr>
        <w:spacing w:after="0" w:line="240" w:lineRule="auto"/>
        <w:contextualSpacing/>
        <w:jc w:val="both"/>
      </w:pPr>
    </w:p>
    <w:p w:rsidR="005A48E2" w:rsidRDefault="00D11AEF" w:rsidP="00BB1A5E">
      <w:pPr>
        <w:spacing w:after="0" w:line="240" w:lineRule="auto"/>
        <w:contextualSpacing/>
        <w:jc w:val="both"/>
      </w:pPr>
      <w:r w:rsidRPr="00C95F78">
        <w:t>As one of the largest consumers of energy, a key area for energy efficient equipment development is in motors and drive systems, particularly in industry. Closely associated with this will be a growth in industrial process automation.</w:t>
      </w:r>
    </w:p>
    <w:p w:rsidR="0004044A" w:rsidRPr="00C95F78" w:rsidRDefault="0004044A" w:rsidP="00BB1A5E">
      <w:pPr>
        <w:spacing w:after="0" w:line="240" w:lineRule="auto"/>
        <w:contextualSpacing/>
        <w:jc w:val="both"/>
      </w:pPr>
    </w:p>
    <w:p w:rsidR="005A48E2" w:rsidRPr="00C95F78" w:rsidRDefault="00D11AEF" w:rsidP="00BB1A5E">
      <w:pPr>
        <w:spacing w:after="0" w:line="240" w:lineRule="auto"/>
        <w:contextualSpacing/>
        <w:jc w:val="both"/>
      </w:pPr>
      <w:r w:rsidRPr="00C95F78">
        <w:t>While the improvement in mechanical and electrical systems is important, the key enabling technology for improved energy efficiency is electronics. In this Section, we look in particular at power electronics.</w:t>
      </w:r>
    </w:p>
    <w:p w:rsidR="005A48E2" w:rsidRPr="00C95F78" w:rsidRDefault="005A48E2" w:rsidP="00BB1A5E">
      <w:pPr>
        <w:spacing w:after="0" w:line="240" w:lineRule="auto"/>
        <w:contextualSpacing/>
        <w:jc w:val="both"/>
      </w:pPr>
    </w:p>
    <w:p w:rsidR="005A48E2" w:rsidRPr="00C95F78" w:rsidRDefault="00D11AEF" w:rsidP="00BB1A5E">
      <w:pPr>
        <w:spacing w:after="0" w:line="240" w:lineRule="auto"/>
        <w:contextualSpacing/>
        <w:jc w:val="both"/>
      </w:pPr>
      <w:r w:rsidRPr="00C95F78">
        <w:t xml:space="preserve">Another principal area of development is in energy storage, in batteries and other devices. </w:t>
      </w:r>
      <w:r w:rsidR="00A43109" w:rsidRPr="00C95F78">
        <w:t>More effective energy storage associated with electricity generation can allow energy to be withdrawn at a time of day when other use is minimal, and to provide additional power when it is needed most, thus increasing the efficiency of electricity use overall. Where not associated directly with electricity generation, energy storage can be used to capture energy that otherwise would be lost.</w:t>
      </w:r>
    </w:p>
    <w:p w:rsidR="005A48E2" w:rsidRPr="00C95F78" w:rsidRDefault="005A48E2" w:rsidP="00BB1A5E">
      <w:pPr>
        <w:spacing w:after="0" w:line="240" w:lineRule="auto"/>
        <w:contextualSpacing/>
        <w:jc w:val="both"/>
      </w:pPr>
    </w:p>
    <w:p w:rsidR="004D6789" w:rsidRPr="008A6438" w:rsidRDefault="00631000"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21" w:name="_Toc263688621"/>
      <w:r w:rsidRPr="008A6438">
        <w:rPr>
          <w:rFonts w:asciiTheme="minorHAnsi" w:hAnsiTheme="minorHAnsi"/>
          <w:color w:val="365F91" w:themeColor="accent1" w:themeShade="BF"/>
          <w:sz w:val="26"/>
          <w:szCs w:val="26"/>
        </w:rPr>
        <w:t>Motors and Drive Systems</w:t>
      </w:r>
      <w:bookmarkEnd w:id="221"/>
    </w:p>
    <w:p w:rsidR="005A48E2" w:rsidRPr="00C95F78" w:rsidRDefault="005A48E2" w:rsidP="00BB1A5E">
      <w:pPr>
        <w:spacing w:after="0" w:line="240" w:lineRule="auto"/>
        <w:contextualSpacing/>
        <w:jc w:val="both"/>
      </w:pPr>
    </w:p>
    <w:p w:rsidR="005A48E2" w:rsidRPr="00C95F78" w:rsidRDefault="00B72DBD"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Background</w:t>
      </w:r>
    </w:p>
    <w:p w:rsidR="005A48E2" w:rsidRPr="00C95F78" w:rsidRDefault="005A48E2" w:rsidP="00BB1A5E">
      <w:pPr>
        <w:spacing w:after="0" w:line="240" w:lineRule="auto"/>
        <w:contextualSpacing/>
        <w:jc w:val="both"/>
      </w:pPr>
    </w:p>
    <w:p w:rsidR="005A48E2" w:rsidRPr="00C95F78" w:rsidRDefault="00B72DBD" w:rsidP="00BB1A5E">
      <w:pPr>
        <w:spacing w:after="0" w:line="240" w:lineRule="auto"/>
        <w:contextualSpacing/>
        <w:jc w:val="both"/>
      </w:pPr>
      <w:r w:rsidRPr="00C95F78">
        <w:t xml:space="preserve">In this Section we provide forecasts on new markets for motors, specifically looking at CMR motors and shaped conductor motors. To identify the potential for these motors, we need to </w:t>
      </w:r>
      <w:r w:rsidR="00086B6A" w:rsidRPr="00C95F78">
        <w:t xml:space="preserve">look at the underlying trends in the motor market, in particular new legislation requiring more efficient motors, and the context of motor driven systems where motors find their market. </w:t>
      </w:r>
    </w:p>
    <w:p w:rsidR="005A48E2" w:rsidRPr="00C95F78" w:rsidRDefault="005A48E2" w:rsidP="00BB1A5E">
      <w:pPr>
        <w:spacing w:after="0" w:line="240" w:lineRule="auto"/>
        <w:contextualSpacing/>
        <w:jc w:val="both"/>
      </w:pPr>
    </w:p>
    <w:p w:rsidR="005A48E2" w:rsidRPr="00C95F78" w:rsidRDefault="00086B6A" w:rsidP="00BB1A5E">
      <w:pPr>
        <w:spacing w:after="0" w:line="240" w:lineRule="auto"/>
        <w:contextualSpacing/>
        <w:jc w:val="both"/>
      </w:pPr>
      <w:r w:rsidRPr="00C95F78">
        <w:t>One of the main ways in which motor driven systems are made more efficient is through the use of Variable Speed Drives</w:t>
      </w:r>
      <w:r w:rsidR="00BD5AFE" w:rsidRPr="00C95F78">
        <w:t xml:space="preserve"> (VSD)</w:t>
      </w:r>
      <w:r w:rsidRPr="00C95F78">
        <w:t xml:space="preserve">. This is one of the main markets for power electronics, looked </w:t>
      </w:r>
      <w:r w:rsidR="008A6438">
        <w:t xml:space="preserve">at </w:t>
      </w:r>
      <w:r w:rsidRPr="00C95F78">
        <w:t>separately as a market area in Section 4.3.3. Motors and VSDs can become part of a more efficient overall industrial operation through industrial process technology. We look at this market area briefly in Section 4.3.4.</w:t>
      </w:r>
    </w:p>
    <w:p w:rsidR="005A48E2" w:rsidRPr="00C95F78" w:rsidRDefault="005A48E2" w:rsidP="00BB1A5E">
      <w:pPr>
        <w:spacing w:after="0" w:line="240" w:lineRule="auto"/>
        <w:contextualSpacing/>
        <w:jc w:val="both"/>
      </w:pPr>
    </w:p>
    <w:p w:rsidR="005A48E2" w:rsidRPr="00C95F78" w:rsidRDefault="00631000"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Alternative Technical and Market Solutions</w:t>
      </w:r>
    </w:p>
    <w:p w:rsidR="005A48E2" w:rsidRPr="00C95F78" w:rsidRDefault="005A48E2" w:rsidP="00BB1A5E">
      <w:pPr>
        <w:spacing w:after="0" w:line="240" w:lineRule="auto"/>
        <w:contextualSpacing/>
        <w:jc w:val="both"/>
      </w:pPr>
    </w:p>
    <w:p w:rsidR="005A48E2" w:rsidRPr="00C95F78" w:rsidRDefault="00291102" w:rsidP="00BB1A5E">
      <w:pPr>
        <w:spacing w:after="0" w:line="240" w:lineRule="auto"/>
        <w:contextualSpacing/>
        <w:jc w:val="both"/>
      </w:pPr>
      <w:r w:rsidRPr="00C95F78">
        <w:t xml:space="preserve">Motors and motor driven systems are </w:t>
      </w:r>
      <w:r w:rsidR="0035211B" w:rsidRPr="00C95F78">
        <w:t xml:space="preserve">huge consumers of electricity and, indirectly, are major contributors to greenhouse gas emissions. In total, motor driven systems are thought to account for 65% of the electricity </w:t>
      </w:r>
      <w:r w:rsidR="008A6438">
        <w:t>consumed in the European Union.</w:t>
      </w:r>
      <w:r w:rsidR="0035211B" w:rsidRPr="00C95F78">
        <w:t xml:space="preserve"> Although only 41% of total electricity consumption is in industry in the EU, nearly all of this is by motors and motor driven systems. The structure of electricity consumption in other parts of the world is similar.</w:t>
      </w:r>
    </w:p>
    <w:p w:rsidR="005A48E2" w:rsidRPr="00C95F78" w:rsidRDefault="005A48E2" w:rsidP="00BB1A5E">
      <w:pPr>
        <w:spacing w:after="0" w:line="240" w:lineRule="auto"/>
        <w:contextualSpacing/>
        <w:jc w:val="both"/>
      </w:pPr>
    </w:p>
    <w:p w:rsidR="00EC1B7A" w:rsidRPr="00C95F78" w:rsidRDefault="0035211B" w:rsidP="00BB1A5E">
      <w:pPr>
        <w:spacing w:after="0" w:line="240" w:lineRule="auto"/>
        <w:jc w:val="both"/>
        <w:rPr>
          <w:noProof/>
        </w:rPr>
      </w:pPr>
      <w:r w:rsidRPr="00C95F78">
        <w:t xml:space="preserve">Because of the huge potential, early in the last decade, the EU authorities and others focussed a great deal of attention on the potential energy savings to be achieved in industrial motor systems. </w:t>
      </w:r>
      <w:r w:rsidR="009438A1">
        <w:t xml:space="preserve">Figure 113 </w:t>
      </w:r>
      <w:r w:rsidRPr="00C95F78">
        <w:t>shows a summary of the findings. It was found that, by taking a systems approach looking not only at the efficiency of the motor</w:t>
      </w:r>
      <w:r w:rsidR="00EC1B7A" w:rsidRPr="00C95F78">
        <w:t xml:space="preserve">, but also at motor control and the equipment driven by motors, over </w:t>
      </w:r>
      <w:r w:rsidR="0064083B" w:rsidRPr="00C95F78">
        <w:rPr>
          <w:rFonts w:cs="GillSans"/>
        </w:rPr>
        <w:t>200 billion kWh of electricity per year</w:t>
      </w:r>
      <w:r w:rsidR="00EC1B7A" w:rsidRPr="00C95F78">
        <w:rPr>
          <w:rFonts w:cs="GillSans"/>
        </w:rPr>
        <w:t xml:space="preserve"> could be saved.</w:t>
      </w:r>
    </w:p>
    <w:p w:rsidR="005A48E2" w:rsidRPr="00C95F78" w:rsidRDefault="005A48E2" w:rsidP="00BB1A5E">
      <w:pPr>
        <w:spacing w:after="0" w:line="240" w:lineRule="auto"/>
        <w:contextualSpacing/>
        <w:jc w:val="both"/>
        <w:rPr>
          <w:rFonts w:cs="GillSans"/>
        </w:rPr>
      </w:pPr>
    </w:p>
    <w:p w:rsidR="005A48E2" w:rsidRDefault="00EC1B7A" w:rsidP="00BB1A5E">
      <w:pPr>
        <w:spacing w:after="0" w:line="240" w:lineRule="auto"/>
        <w:contextualSpacing/>
        <w:jc w:val="both"/>
        <w:rPr>
          <w:rFonts w:cs="GillSans"/>
        </w:rPr>
      </w:pPr>
      <w:r w:rsidRPr="00C95F78">
        <w:rPr>
          <w:rFonts w:cs="GillSans"/>
        </w:rPr>
        <w:t>Motors themselves accounted for a relatively small proportion of the total electricity savings that could be achieved (13.5%). Efficient motors, however, are better able to utilise the benefits of electronic control with variable speed drives (25% of saving), and a well balanced motor and VSD is better placed to achieve the full benefit of proper sizing and design improvement in motor driven equipment, of which pumps, fans and compressors are the main types. This, coupled with the fact that improvements in motor design are readily identifiable and measurable rather than being system specific</w:t>
      </w:r>
      <w:r w:rsidR="00FC20B2" w:rsidRPr="00C95F78">
        <w:rPr>
          <w:rFonts w:cs="GillSans"/>
        </w:rPr>
        <w:t>,</w:t>
      </w:r>
      <w:r w:rsidRPr="00C95F78">
        <w:rPr>
          <w:rFonts w:cs="GillSans"/>
        </w:rPr>
        <w:t xml:space="preserve"> led to a concentration of energy efficiency legislation on motors themselves rather than other parts of the drive system.</w:t>
      </w:r>
    </w:p>
    <w:p w:rsidR="00A86C48" w:rsidRDefault="00A86C48" w:rsidP="00BB1A5E">
      <w:pPr>
        <w:spacing w:after="0" w:line="240" w:lineRule="auto"/>
        <w:contextualSpacing/>
        <w:jc w:val="both"/>
        <w:rPr>
          <w:rFonts w:cs="GillSans"/>
        </w:rPr>
      </w:pPr>
    </w:p>
    <w:p w:rsidR="0088182E" w:rsidRPr="0088182E" w:rsidRDefault="00A86C48" w:rsidP="0088182E">
      <w:pPr>
        <w:spacing w:after="0" w:line="240" w:lineRule="auto"/>
        <w:contextualSpacing/>
        <w:jc w:val="both"/>
        <w:rPr>
          <w:bCs/>
        </w:rPr>
      </w:pPr>
      <w:r w:rsidRPr="00C95F78">
        <w:rPr>
          <w:rFonts w:cs="GillSans"/>
        </w:rPr>
        <w:t xml:space="preserve">The potential saving of a motor driven system </w:t>
      </w:r>
      <w:r>
        <w:rPr>
          <w:rFonts w:cs="GillSans"/>
        </w:rPr>
        <w:t xml:space="preserve">overall </w:t>
      </w:r>
      <w:r w:rsidRPr="00C95F78">
        <w:rPr>
          <w:rFonts w:cs="GillSans"/>
        </w:rPr>
        <w:t>depends on equipment t</w:t>
      </w:r>
      <w:r>
        <w:rPr>
          <w:rFonts w:cs="GillSans"/>
        </w:rPr>
        <w:t>ype and configuration. M</w:t>
      </w:r>
      <w:r w:rsidRPr="00C95F78">
        <w:rPr>
          <w:rFonts w:cs="GillSans"/>
        </w:rPr>
        <w:t xml:space="preserve">otor systems </w:t>
      </w:r>
      <w:r>
        <w:rPr>
          <w:rFonts w:cs="GillSans"/>
        </w:rPr>
        <w:t xml:space="preserve">driving compressors </w:t>
      </w:r>
      <w:r w:rsidRPr="00C95F78">
        <w:rPr>
          <w:rFonts w:cs="GillSans"/>
        </w:rPr>
        <w:t xml:space="preserve">have greater energy saving potential than those </w:t>
      </w:r>
      <w:r>
        <w:rPr>
          <w:rFonts w:cs="GillSans"/>
        </w:rPr>
        <w:t>driving fans</w:t>
      </w:r>
      <w:r w:rsidRPr="00C95F78">
        <w:rPr>
          <w:rFonts w:cs="GillSans"/>
        </w:rPr>
        <w:t xml:space="preserve">, for example. As a percentage of total electricity use, however, the potential savings are usually very large indeed for all equipment types. In the illustrative example of an industrial pumping system </w:t>
      </w:r>
      <w:r>
        <w:rPr>
          <w:rFonts w:cs="GillSans"/>
        </w:rPr>
        <w:t xml:space="preserve">shown in </w:t>
      </w:r>
      <w:r w:rsidR="0088182E">
        <w:t>Figure 115, a total saving of 57% of the input power to achieve a certain level of output is indicated.</w:t>
      </w:r>
    </w:p>
    <w:p w:rsidR="0088182E" w:rsidRDefault="0088182E" w:rsidP="00223DD8">
      <w:pPr>
        <w:spacing w:after="0" w:line="240" w:lineRule="auto"/>
        <w:contextualSpacing/>
        <w:jc w:val="both"/>
        <w:rPr>
          <w:rFonts w:cs="GillSans"/>
        </w:rPr>
      </w:pPr>
    </w:p>
    <w:p w:rsidR="0088182E" w:rsidRDefault="0088182E" w:rsidP="00223DD8">
      <w:pPr>
        <w:spacing w:after="0" w:line="240" w:lineRule="auto"/>
        <w:contextualSpacing/>
        <w:jc w:val="both"/>
        <w:rPr>
          <w:rFonts w:cs="GillSans"/>
        </w:rPr>
      </w:pPr>
    </w:p>
    <w:p w:rsidR="005A48E2" w:rsidRPr="00C95F78" w:rsidRDefault="0064083B" w:rsidP="00CD78AF">
      <w:pPr>
        <w:pStyle w:val="Caption"/>
        <w:contextualSpacing/>
        <w:jc w:val="center"/>
        <w:rPr>
          <w:sz w:val="28"/>
          <w:szCs w:val="28"/>
        </w:rPr>
      </w:pPr>
      <w:bookmarkStart w:id="222" w:name="_Ref263080456"/>
      <w:bookmarkStart w:id="223" w:name="_Toc26367176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113</w:t>
      </w:r>
      <w:r w:rsidR="00D50FDC" w:rsidRPr="00C95F78">
        <w:rPr>
          <w:sz w:val="28"/>
          <w:szCs w:val="28"/>
        </w:rPr>
        <w:fldChar w:fldCharType="end"/>
      </w:r>
      <w:bookmarkEnd w:id="222"/>
      <w:r w:rsidR="00714D75" w:rsidRPr="00C95F78">
        <w:rPr>
          <w:sz w:val="28"/>
          <w:szCs w:val="28"/>
        </w:rPr>
        <w:t>: Potential Electricity S</w:t>
      </w:r>
      <w:r w:rsidRPr="00C95F78">
        <w:rPr>
          <w:sz w:val="28"/>
          <w:szCs w:val="28"/>
        </w:rPr>
        <w:t xml:space="preserve">avings </w:t>
      </w:r>
      <w:r w:rsidR="00714D75" w:rsidRPr="00C95F78">
        <w:rPr>
          <w:sz w:val="28"/>
          <w:szCs w:val="28"/>
        </w:rPr>
        <w:t xml:space="preserve">in Motor Systems </w:t>
      </w:r>
      <w:r w:rsidRPr="00C95F78">
        <w:rPr>
          <w:sz w:val="28"/>
          <w:szCs w:val="28"/>
        </w:rPr>
        <w:t xml:space="preserve">in </w:t>
      </w:r>
      <w:r w:rsidR="00714D75" w:rsidRPr="00C95F78">
        <w:rPr>
          <w:sz w:val="28"/>
          <w:szCs w:val="28"/>
        </w:rPr>
        <w:t>the EU</w:t>
      </w:r>
      <w:r w:rsidR="00714D75" w:rsidRPr="00C95F78">
        <w:rPr>
          <w:rStyle w:val="FootnoteReference"/>
          <w:sz w:val="28"/>
          <w:szCs w:val="28"/>
        </w:rPr>
        <w:footnoteReference w:id="36"/>
      </w:r>
      <w:bookmarkEnd w:id="223"/>
    </w:p>
    <w:p w:rsidR="005A48E2" w:rsidRPr="00C95F78" w:rsidRDefault="0064083B" w:rsidP="00CD78AF">
      <w:pPr>
        <w:autoSpaceDE w:val="0"/>
        <w:autoSpaceDN w:val="0"/>
        <w:adjustRightInd w:val="0"/>
        <w:spacing w:after="0" w:line="240" w:lineRule="auto"/>
        <w:contextualSpacing/>
        <w:jc w:val="center"/>
        <w:rPr>
          <w:rFonts w:cs="GillSans"/>
          <w:sz w:val="20"/>
          <w:szCs w:val="20"/>
        </w:rPr>
      </w:pPr>
      <w:r w:rsidRPr="00C95F78">
        <w:rPr>
          <w:rFonts w:cs="GillSans"/>
          <w:noProof/>
          <w:sz w:val="20"/>
          <w:szCs w:val="20"/>
          <w:lang w:val="en-US"/>
        </w:rPr>
        <w:drawing>
          <wp:inline distT="0" distB="0" distL="0" distR="0">
            <wp:extent cx="4903810" cy="2126754"/>
            <wp:effectExtent l="1905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cstate="print"/>
                    <a:srcRect/>
                    <a:stretch>
                      <a:fillRect/>
                    </a:stretch>
                  </pic:blipFill>
                  <pic:spPr bwMode="auto">
                    <a:xfrm>
                      <a:off x="0" y="0"/>
                      <a:ext cx="4903810" cy="2126754"/>
                    </a:xfrm>
                    <a:prstGeom prst="rect">
                      <a:avLst/>
                    </a:prstGeom>
                    <a:noFill/>
                    <a:ln w="9525">
                      <a:noFill/>
                      <a:miter lim="800000"/>
                      <a:headEnd/>
                      <a:tailEnd/>
                    </a:ln>
                  </pic:spPr>
                </pic:pic>
              </a:graphicData>
            </a:graphic>
          </wp:inline>
        </w:drawing>
      </w:r>
    </w:p>
    <w:p w:rsidR="005A48E2" w:rsidRPr="00C95F78" w:rsidRDefault="0064083B" w:rsidP="00CD78AF">
      <w:pPr>
        <w:pStyle w:val="Caption"/>
        <w:contextualSpacing/>
        <w:jc w:val="center"/>
        <w:rPr>
          <w:sz w:val="28"/>
          <w:szCs w:val="28"/>
        </w:rPr>
      </w:pPr>
      <w:bookmarkStart w:id="224" w:name="_Toc26367176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114</w:t>
      </w:r>
      <w:r w:rsidR="00D50FDC" w:rsidRPr="00C95F78">
        <w:rPr>
          <w:sz w:val="28"/>
          <w:szCs w:val="28"/>
        </w:rPr>
        <w:fldChar w:fldCharType="end"/>
      </w:r>
      <w:r w:rsidRPr="00C95F78">
        <w:rPr>
          <w:sz w:val="28"/>
          <w:szCs w:val="28"/>
        </w:rPr>
        <w:t xml:space="preserve">: </w:t>
      </w:r>
      <w:r w:rsidR="00FC20B2" w:rsidRPr="00C95F78">
        <w:rPr>
          <w:sz w:val="28"/>
          <w:szCs w:val="28"/>
        </w:rPr>
        <w:t>Electricity Savings Potential for Motor Driven S</w:t>
      </w:r>
      <w:r w:rsidRPr="00C95F78">
        <w:rPr>
          <w:sz w:val="28"/>
          <w:szCs w:val="28"/>
        </w:rPr>
        <w:t>ystems</w:t>
      </w:r>
      <w:r w:rsidR="00FC20B2" w:rsidRPr="00C95F78">
        <w:rPr>
          <w:sz w:val="28"/>
          <w:szCs w:val="28"/>
        </w:rPr>
        <w:t xml:space="preserve"> by Type of Equipment</w:t>
      </w:r>
      <w:r w:rsidRPr="00C95F78">
        <w:rPr>
          <w:rStyle w:val="FootnoteReference"/>
          <w:sz w:val="28"/>
          <w:szCs w:val="28"/>
        </w:rPr>
        <w:footnoteReference w:id="37"/>
      </w:r>
      <w:bookmarkEnd w:id="224"/>
    </w:p>
    <w:p w:rsidR="005A48E2" w:rsidRPr="00C95F78" w:rsidRDefault="0064083B" w:rsidP="00CD78AF">
      <w:pPr>
        <w:autoSpaceDE w:val="0"/>
        <w:autoSpaceDN w:val="0"/>
        <w:adjustRightInd w:val="0"/>
        <w:spacing w:after="0" w:line="240" w:lineRule="auto"/>
        <w:contextualSpacing/>
        <w:jc w:val="center"/>
        <w:rPr>
          <w:rFonts w:cs="GillSans"/>
          <w:sz w:val="20"/>
          <w:szCs w:val="20"/>
        </w:rPr>
      </w:pPr>
      <w:r w:rsidRPr="00C95F78">
        <w:rPr>
          <w:rFonts w:cs="GillSans"/>
          <w:noProof/>
          <w:sz w:val="20"/>
          <w:szCs w:val="20"/>
          <w:lang w:val="en-US"/>
        </w:rPr>
        <w:drawing>
          <wp:inline distT="0" distB="0" distL="0" distR="0">
            <wp:extent cx="5514975" cy="1638300"/>
            <wp:effectExtent l="19050" t="0" r="9525"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cstate="print"/>
                    <a:srcRect/>
                    <a:stretch>
                      <a:fillRect/>
                    </a:stretch>
                  </pic:blipFill>
                  <pic:spPr bwMode="auto">
                    <a:xfrm>
                      <a:off x="0" y="0"/>
                      <a:ext cx="5514975" cy="1638300"/>
                    </a:xfrm>
                    <a:prstGeom prst="rect">
                      <a:avLst/>
                    </a:prstGeom>
                    <a:noFill/>
                    <a:ln w="9525">
                      <a:noFill/>
                      <a:miter lim="800000"/>
                      <a:headEnd/>
                      <a:tailEnd/>
                    </a:ln>
                  </pic:spPr>
                </pic:pic>
              </a:graphicData>
            </a:graphic>
          </wp:inline>
        </w:drawing>
      </w:r>
    </w:p>
    <w:p w:rsidR="005A48E2" w:rsidRPr="00C95F78" w:rsidRDefault="005A48E2" w:rsidP="00BB1A5E">
      <w:pPr>
        <w:autoSpaceDE w:val="0"/>
        <w:autoSpaceDN w:val="0"/>
        <w:adjustRightInd w:val="0"/>
        <w:spacing w:after="0" w:line="240" w:lineRule="auto"/>
        <w:contextualSpacing/>
        <w:jc w:val="both"/>
        <w:rPr>
          <w:rFonts w:cs="GillSans"/>
          <w:sz w:val="20"/>
          <w:szCs w:val="20"/>
        </w:rPr>
      </w:pPr>
    </w:p>
    <w:p w:rsidR="005A48E2" w:rsidRPr="00C95F78" w:rsidRDefault="005A48E2" w:rsidP="00BB1A5E">
      <w:pPr>
        <w:autoSpaceDE w:val="0"/>
        <w:autoSpaceDN w:val="0"/>
        <w:adjustRightInd w:val="0"/>
        <w:spacing w:after="0" w:line="240" w:lineRule="auto"/>
        <w:contextualSpacing/>
        <w:jc w:val="both"/>
        <w:rPr>
          <w:rFonts w:cs="GillSans"/>
          <w:sz w:val="20"/>
          <w:szCs w:val="20"/>
        </w:rPr>
      </w:pPr>
    </w:p>
    <w:p w:rsidR="005A48E2" w:rsidRPr="00C95F78" w:rsidRDefault="005A48E2" w:rsidP="00BB1A5E">
      <w:pPr>
        <w:spacing w:after="0" w:line="240" w:lineRule="auto"/>
        <w:contextualSpacing/>
        <w:jc w:val="both"/>
        <w:rPr>
          <w:rFonts w:cs="GillSans"/>
        </w:rPr>
      </w:pPr>
    </w:p>
    <w:p w:rsidR="005A48E2" w:rsidRPr="00C95F78" w:rsidRDefault="00086B6A" w:rsidP="00BB1A5E">
      <w:pPr>
        <w:spacing w:after="0" w:line="240" w:lineRule="auto"/>
        <w:contextualSpacing/>
        <w:jc w:val="both"/>
        <w:rPr>
          <w:rFonts w:cs="GillSans"/>
        </w:rPr>
      </w:pPr>
      <w:r w:rsidRPr="00C95F78">
        <w:rPr>
          <w:rFonts w:cs="GillSans"/>
        </w:rPr>
        <w:t xml:space="preserve">The same illustration indicates just how low is the increase in efficiency that can be attributed directly to the motor. Before the recent round of legislation, standard motors achieved 90% </w:t>
      </w:r>
      <w:r w:rsidR="00CD3BAF" w:rsidRPr="00C95F78">
        <w:rPr>
          <w:rFonts w:cs="GillSans"/>
        </w:rPr>
        <w:t>efficiency</w:t>
      </w:r>
      <w:r w:rsidRPr="00C95F78">
        <w:rPr>
          <w:rFonts w:cs="GillSans"/>
        </w:rPr>
        <w:t>. Modern efficient motors may be 95% efficient. The difference would mean only 5% energy saving if the only thing that was different was the motor. The introduction of a VSD and better balanced motor driven equipment, however, multiplies the total energy saving</w:t>
      </w:r>
      <w:r w:rsidR="005028AE">
        <w:rPr>
          <w:rFonts w:cs="GillSans"/>
        </w:rPr>
        <w:t>s</w:t>
      </w:r>
      <w:r w:rsidRPr="00C95F78">
        <w:rPr>
          <w:rFonts w:cs="GillSans"/>
        </w:rPr>
        <w:t xml:space="preserve"> by more than ten.</w:t>
      </w:r>
    </w:p>
    <w:p w:rsidR="005A48E2" w:rsidRPr="00C95F78" w:rsidRDefault="005A48E2" w:rsidP="00BB1A5E">
      <w:pPr>
        <w:spacing w:after="0" w:line="240" w:lineRule="auto"/>
        <w:contextualSpacing/>
        <w:jc w:val="both"/>
        <w:rPr>
          <w:rFonts w:cs="GillSans"/>
        </w:rPr>
      </w:pPr>
    </w:p>
    <w:p w:rsidR="00A86C48" w:rsidRDefault="00086B6A" w:rsidP="00BB1A5E">
      <w:pPr>
        <w:autoSpaceDE w:val="0"/>
        <w:autoSpaceDN w:val="0"/>
        <w:adjustRightInd w:val="0"/>
        <w:spacing w:after="0" w:line="240" w:lineRule="auto"/>
        <w:contextualSpacing/>
        <w:jc w:val="both"/>
        <w:rPr>
          <w:rFonts w:cs="ArialMT"/>
        </w:rPr>
      </w:pPr>
      <w:r w:rsidRPr="00C95F78">
        <w:rPr>
          <w:rFonts w:cs="GillSans"/>
          <w:b/>
        </w:rPr>
        <w:t xml:space="preserve">Motor Efficiency and Legislation: </w:t>
      </w:r>
      <w:r w:rsidRPr="00C95F78">
        <w:rPr>
          <w:rFonts w:cs="GillSans"/>
        </w:rPr>
        <w:t>In Europe, the modern era of efficient motors may be said to have begun in 2000 with</w:t>
      </w:r>
      <w:r w:rsidRPr="00C95F78">
        <w:rPr>
          <w:rFonts w:cs="ArialMT"/>
        </w:rPr>
        <w:t xml:space="preserve"> a voluntary agreement on motor efficiency between European Motor Manufacturer Association (CEMEP) and the European Commission. The current, mandatory, efficiency level across a wide power rating range required of motors sold in Europe is embodied in the EU MEPS (European Minimum Energy Performance Standard) scheme, introduced in July 2009.</w:t>
      </w:r>
      <w:bookmarkStart w:id="225" w:name="_Ref263084825"/>
    </w:p>
    <w:p w:rsidR="00A86C48" w:rsidRDefault="00A86C48" w:rsidP="00BB1A5E">
      <w:pPr>
        <w:autoSpaceDE w:val="0"/>
        <w:autoSpaceDN w:val="0"/>
        <w:adjustRightInd w:val="0"/>
        <w:spacing w:after="0" w:line="240" w:lineRule="auto"/>
        <w:contextualSpacing/>
        <w:jc w:val="both"/>
        <w:rPr>
          <w:rFonts w:cs="ArialMT"/>
        </w:rPr>
      </w:pPr>
    </w:p>
    <w:p w:rsidR="00335E06" w:rsidRPr="00D76329" w:rsidRDefault="00A86C48" w:rsidP="00816DA2">
      <w:pPr>
        <w:autoSpaceDE w:val="0"/>
        <w:autoSpaceDN w:val="0"/>
        <w:adjustRightInd w:val="0"/>
        <w:spacing w:after="0"/>
        <w:jc w:val="both"/>
      </w:pPr>
      <w:r w:rsidRPr="00C95F78">
        <w:rPr>
          <w:rFonts w:cs="ArialMT"/>
        </w:rPr>
        <w:t xml:space="preserve">The EU MEPs not only raises the efficiency standard of motors sold in Europe, it also links Europe’s requirements to international standards. Similar initiatives elsewhere are helping to harmonise motor efficiency standards globally. EU MEPS covers 2-, 4- and 6-pole single speed, three-phase induction motors in the power range 0.75 to 375 kW, rated up to 1000 V and on the basis of continuous duty operation. The implementation timeline is shown in </w:t>
      </w:r>
      <w:r w:rsidR="003C7AEB">
        <w:fldChar w:fldCharType="begin"/>
      </w:r>
      <w:r w:rsidR="003C7AEB">
        <w:instrText xml:space="preserve"> REF _Ref263084632 \h  \* MERGEFORMAT </w:instrText>
      </w:r>
      <w:r w:rsidR="003C7AEB">
        <w:fldChar w:fldCharType="separate"/>
      </w:r>
      <w:r w:rsidR="0005759A" w:rsidRPr="0005759A">
        <w:t xml:space="preserve">Figure </w:t>
      </w:r>
      <w:r w:rsidR="0005759A" w:rsidRPr="0005759A">
        <w:rPr>
          <w:noProof/>
        </w:rPr>
        <w:t>116</w:t>
      </w:r>
      <w:r w:rsidR="003C7AEB">
        <w:fldChar w:fldCharType="end"/>
      </w:r>
      <w:r w:rsidRPr="00C95F78">
        <w:rPr>
          <w:rFonts w:cs="ArialMT"/>
        </w:rPr>
        <w:t xml:space="preserve">, and a comparison with standards in the United States and standards in individual European countries is shown in </w:t>
      </w:r>
      <w:r w:rsidR="00335E06">
        <w:rPr>
          <w:rFonts w:cs="ArialMT"/>
        </w:rPr>
        <w:t>Figure 117.</w:t>
      </w:r>
    </w:p>
    <w:p w:rsidR="00FC20B2" w:rsidRPr="00C95F78" w:rsidRDefault="00FC20B2" w:rsidP="00CD78AF">
      <w:pPr>
        <w:pStyle w:val="Caption"/>
        <w:contextualSpacing/>
        <w:jc w:val="center"/>
        <w:rPr>
          <w:sz w:val="28"/>
          <w:szCs w:val="28"/>
        </w:rPr>
      </w:pPr>
      <w:bookmarkStart w:id="226" w:name="_Toc26367176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115</w:t>
      </w:r>
      <w:r w:rsidR="00D50FDC" w:rsidRPr="00C95F78">
        <w:rPr>
          <w:sz w:val="28"/>
          <w:szCs w:val="28"/>
        </w:rPr>
        <w:fldChar w:fldCharType="end"/>
      </w:r>
      <w:bookmarkEnd w:id="225"/>
      <w:r w:rsidRPr="00C95F78">
        <w:rPr>
          <w:sz w:val="28"/>
          <w:szCs w:val="28"/>
        </w:rPr>
        <w:t>: A Diagram of the Electricity Savings Potential of an Industrial Pumping System</w:t>
      </w:r>
      <w:r w:rsidR="00714D75" w:rsidRPr="00C95F78">
        <w:rPr>
          <w:rStyle w:val="FootnoteReference"/>
          <w:sz w:val="28"/>
          <w:szCs w:val="28"/>
        </w:rPr>
        <w:footnoteReference w:id="38"/>
      </w:r>
      <w:bookmarkEnd w:id="226"/>
    </w:p>
    <w:p w:rsidR="004D6789" w:rsidRPr="00C95F78" w:rsidRDefault="00FC20B2" w:rsidP="00CD78AF">
      <w:pPr>
        <w:spacing w:line="240" w:lineRule="auto"/>
        <w:contextualSpacing/>
        <w:jc w:val="center"/>
        <w:rPr>
          <w:rFonts w:cs="HelveticaNeue-Medium"/>
          <w:sz w:val="20"/>
          <w:szCs w:val="20"/>
        </w:rPr>
      </w:pPr>
      <w:r w:rsidRPr="00C95F78">
        <w:rPr>
          <w:rFonts w:cs="HelveticaNeue-Medium"/>
          <w:noProof/>
          <w:sz w:val="20"/>
          <w:szCs w:val="20"/>
          <w:lang w:val="en-US"/>
        </w:rPr>
        <w:drawing>
          <wp:inline distT="0" distB="0" distL="0" distR="0">
            <wp:extent cx="5681106" cy="3696319"/>
            <wp:effectExtent l="1905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srcRect t="4836"/>
                    <a:stretch>
                      <a:fillRect/>
                    </a:stretch>
                  </pic:blipFill>
                  <pic:spPr bwMode="auto">
                    <a:xfrm>
                      <a:off x="0" y="0"/>
                      <a:ext cx="5681106" cy="3696319"/>
                    </a:xfrm>
                    <a:prstGeom prst="rect">
                      <a:avLst/>
                    </a:prstGeom>
                    <a:noFill/>
                    <a:ln w="9525">
                      <a:noFill/>
                      <a:miter lim="800000"/>
                      <a:headEnd/>
                      <a:tailEnd/>
                    </a:ln>
                  </pic:spPr>
                </pic:pic>
              </a:graphicData>
            </a:graphic>
          </wp:inline>
        </w:drawing>
      </w:r>
    </w:p>
    <w:p w:rsidR="00FC20B2" w:rsidRPr="00C95F78" w:rsidRDefault="00FC20B2" w:rsidP="00BB1A5E">
      <w:pPr>
        <w:spacing w:after="0" w:line="240" w:lineRule="auto"/>
        <w:contextualSpacing/>
        <w:jc w:val="both"/>
        <w:rPr>
          <w:rFonts w:cs="GillSans"/>
        </w:rPr>
      </w:pPr>
    </w:p>
    <w:p w:rsidR="005A48E2" w:rsidRPr="00C95F78" w:rsidRDefault="005A48E2" w:rsidP="00BB1A5E">
      <w:pPr>
        <w:spacing w:after="0" w:line="240" w:lineRule="auto"/>
        <w:contextualSpacing/>
        <w:jc w:val="both"/>
        <w:rPr>
          <w:rFonts w:cs="GillSans"/>
        </w:rPr>
      </w:pPr>
    </w:p>
    <w:p w:rsidR="005A48E2" w:rsidRPr="00C95F78" w:rsidRDefault="005A48E2" w:rsidP="00BB1A5E">
      <w:pPr>
        <w:autoSpaceDE w:val="0"/>
        <w:autoSpaceDN w:val="0"/>
        <w:adjustRightInd w:val="0"/>
        <w:spacing w:after="0" w:line="240" w:lineRule="auto"/>
        <w:contextualSpacing/>
        <w:jc w:val="both"/>
        <w:rPr>
          <w:rFonts w:cs="ArialMT"/>
        </w:rPr>
      </w:pPr>
    </w:p>
    <w:p w:rsidR="005A48E2" w:rsidRPr="00C95F78" w:rsidRDefault="00AD1685" w:rsidP="00CD78AF">
      <w:pPr>
        <w:pStyle w:val="Caption"/>
        <w:contextualSpacing/>
        <w:jc w:val="center"/>
        <w:rPr>
          <w:sz w:val="28"/>
          <w:szCs w:val="28"/>
        </w:rPr>
      </w:pPr>
      <w:bookmarkStart w:id="227" w:name="_Ref263084632"/>
      <w:bookmarkStart w:id="228" w:name="_Toc26367177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116</w:t>
      </w:r>
      <w:r w:rsidR="00D50FDC" w:rsidRPr="00C95F78">
        <w:rPr>
          <w:sz w:val="28"/>
          <w:szCs w:val="28"/>
        </w:rPr>
        <w:fldChar w:fldCharType="end"/>
      </w:r>
      <w:bookmarkEnd w:id="227"/>
      <w:r w:rsidRPr="00C95F78">
        <w:rPr>
          <w:sz w:val="28"/>
          <w:szCs w:val="28"/>
        </w:rPr>
        <w:t xml:space="preserve">: </w:t>
      </w:r>
      <w:r w:rsidR="003E0E24" w:rsidRPr="00C95F78">
        <w:rPr>
          <w:sz w:val="28"/>
          <w:szCs w:val="28"/>
        </w:rPr>
        <w:t>Implementation T</w:t>
      </w:r>
      <w:r w:rsidRPr="00C95F78">
        <w:rPr>
          <w:sz w:val="28"/>
          <w:szCs w:val="28"/>
        </w:rPr>
        <w:t>imeline for EU MEPS</w:t>
      </w:r>
      <w:bookmarkEnd w:id="228"/>
    </w:p>
    <w:tbl>
      <w:tblPr>
        <w:tblW w:w="480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02"/>
        <w:gridCol w:w="2724"/>
        <w:gridCol w:w="3104"/>
      </w:tblGrid>
      <w:tr w:rsidR="00AD1685" w:rsidRPr="00C95F78" w:rsidTr="003E0E24">
        <w:trPr>
          <w:tblCellSpacing w:w="15" w:type="dxa"/>
        </w:trPr>
        <w:tc>
          <w:tcPr>
            <w:tcW w:w="1711" w:type="pct"/>
          </w:tcPr>
          <w:p w:rsidR="005A48E2" w:rsidRPr="00C95F78" w:rsidRDefault="00AD1685" w:rsidP="00CD78AF">
            <w:pPr>
              <w:spacing w:before="100" w:beforeAutospacing="1" w:after="100" w:afterAutospacing="1" w:line="240" w:lineRule="auto"/>
              <w:contextualSpacing/>
              <w:jc w:val="center"/>
              <w:rPr>
                <w:rFonts w:cs="ArialMT"/>
                <w:b/>
              </w:rPr>
            </w:pPr>
            <w:r w:rsidRPr="00C95F78">
              <w:rPr>
                <w:rFonts w:cs="ArialMT"/>
                <w:b/>
              </w:rPr>
              <w:t>Timetable</w:t>
            </w:r>
          </w:p>
        </w:tc>
        <w:tc>
          <w:tcPr>
            <w:tcW w:w="1508" w:type="pct"/>
          </w:tcPr>
          <w:p w:rsidR="005A48E2" w:rsidRPr="00C95F78" w:rsidRDefault="00AD1685" w:rsidP="00CD78AF">
            <w:pPr>
              <w:spacing w:before="100" w:beforeAutospacing="1" w:after="100" w:afterAutospacing="1" w:line="240" w:lineRule="auto"/>
              <w:contextualSpacing/>
              <w:jc w:val="center"/>
              <w:rPr>
                <w:rFonts w:cs="ArialMT"/>
                <w:b/>
              </w:rPr>
            </w:pPr>
            <w:r w:rsidRPr="00C95F78">
              <w:rPr>
                <w:rFonts w:cs="ArialMT"/>
                <w:b/>
              </w:rPr>
              <w:t>Requirement</w:t>
            </w:r>
          </w:p>
        </w:tc>
        <w:tc>
          <w:tcPr>
            <w:tcW w:w="1712" w:type="pct"/>
          </w:tcPr>
          <w:p w:rsidR="005A48E2" w:rsidRPr="00C95F78" w:rsidRDefault="00AD1685" w:rsidP="00CD78AF">
            <w:pPr>
              <w:spacing w:before="100" w:beforeAutospacing="1" w:after="100" w:afterAutospacing="1" w:line="240" w:lineRule="auto"/>
              <w:contextualSpacing/>
              <w:jc w:val="center"/>
              <w:rPr>
                <w:rFonts w:cs="ArialMT"/>
                <w:b/>
              </w:rPr>
            </w:pPr>
            <w:r w:rsidRPr="00C95F78">
              <w:rPr>
                <w:rFonts w:cs="ArialMT"/>
                <w:b/>
              </w:rPr>
              <w:t>Notes</w:t>
            </w:r>
          </w:p>
        </w:tc>
      </w:tr>
      <w:tr w:rsidR="00AD1685" w:rsidRPr="00C95F78" w:rsidTr="003E0E24">
        <w:trPr>
          <w:tblCellSpacing w:w="15" w:type="dxa"/>
        </w:trPr>
        <w:tc>
          <w:tcPr>
            <w:tcW w:w="1711" w:type="pct"/>
            <w:vAlign w:val="center"/>
          </w:tcPr>
          <w:p w:rsidR="00AD1685" w:rsidRPr="00C95F78" w:rsidRDefault="00AD1685" w:rsidP="00BB1A5E">
            <w:pPr>
              <w:spacing w:before="100" w:beforeAutospacing="1" w:after="100" w:afterAutospacing="1" w:line="240" w:lineRule="auto"/>
              <w:contextualSpacing/>
              <w:jc w:val="both"/>
              <w:rPr>
                <w:rFonts w:cs="ArialMT"/>
                <w:sz w:val="20"/>
                <w:szCs w:val="20"/>
              </w:rPr>
            </w:pPr>
            <w:r w:rsidRPr="00C95F78">
              <w:rPr>
                <w:rFonts w:cs="ArialMT"/>
                <w:sz w:val="20"/>
                <w:szCs w:val="20"/>
              </w:rPr>
              <w:t>Phase 1: From 16 June, 2011</w:t>
            </w:r>
          </w:p>
        </w:tc>
        <w:tc>
          <w:tcPr>
            <w:tcW w:w="1508" w:type="pct"/>
            <w:vAlign w:val="center"/>
          </w:tcPr>
          <w:p w:rsidR="005A48E2" w:rsidRPr="00C95F78" w:rsidRDefault="00AD1685" w:rsidP="00CD78AF">
            <w:pPr>
              <w:spacing w:before="100" w:beforeAutospacing="1" w:after="100" w:afterAutospacing="1" w:line="240" w:lineRule="auto"/>
              <w:contextualSpacing/>
              <w:jc w:val="both"/>
              <w:rPr>
                <w:rFonts w:cs="ArialMT"/>
                <w:sz w:val="20"/>
                <w:szCs w:val="20"/>
              </w:rPr>
            </w:pPr>
            <w:r w:rsidRPr="00C95F78">
              <w:rPr>
                <w:rFonts w:cs="ArialMT"/>
                <w:sz w:val="20"/>
                <w:szCs w:val="20"/>
              </w:rPr>
              <w:t>Motors must meet the IE2 efficiency level</w:t>
            </w:r>
          </w:p>
        </w:tc>
        <w:tc>
          <w:tcPr>
            <w:tcW w:w="1712" w:type="pct"/>
            <w:vAlign w:val="center"/>
          </w:tcPr>
          <w:p w:rsidR="005A48E2" w:rsidRPr="00C95F78" w:rsidRDefault="00AD1685" w:rsidP="00CD78AF">
            <w:pPr>
              <w:spacing w:before="100" w:beforeAutospacing="1" w:after="100" w:afterAutospacing="1" w:line="240" w:lineRule="auto"/>
              <w:ind w:left="48"/>
              <w:contextualSpacing/>
              <w:jc w:val="both"/>
              <w:rPr>
                <w:rFonts w:cs="ArialMT"/>
                <w:sz w:val="20"/>
                <w:szCs w:val="20"/>
              </w:rPr>
            </w:pPr>
            <w:r w:rsidRPr="00C95F78">
              <w:rPr>
                <w:rFonts w:cs="ArialMT"/>
                <w:sz w:val="20"/>
                <w:szCs w:val="20"/>
              </w:rPr>
              <w:t>IE2/ High efficiency- comparable to Eff1 (European CEMEP agreement)</w:t>
            </w:r>
          </w:p>
        </w:tc>
      </w:tr>
      <w:tr w:rsidR="00AD1685" w:rsidRPr="00C95F78" w:rsidTr="003E0E24">
        <w:trPr>
          <w:tblCellSpacing w:w="15" w:type="dxa"/>
        </w:trPr>
        <w:tc>
          <w:tcPr>
            <w:tcW w:w="1711" w:type="pct"/>
            <w:vAlign w:val="center"/>
          </w:tcPr>
          <w:p w:rsidR="00AD1685" w:rsidRPr="00C95F78" w:rsidRDefault="00AD1685" w:rsidP="00BB1A5E">
            <w:pPr>
              <w:spacing w:before="100" w:beforeAutospacing="1" w:after="100" w:afterAutospacing="1" w:line="240" w:lineRule="auto"/>
              <w:contextualSpacing/>
              <w:jc w:val="both"/>
              <w:rPr>
                <w:rFonts w:cs="ArialMT"/>
                <w:sz w:val="20"/>
                <w:szCs w:val="20"/>
              </w:rPr>
            </w:pPr>
            <w:r w:rsidRPr="00C95F78">
              <w:rPr>
                <w:rFonts w:cs="ArialMT"/>
                <w:sz w:val="20"/>
                <w:szCs w:val="20"/>
              </w:rPr>
              <w:t>Phase2: From 1 January, 2015</w:t>
            </w:r>
          </w:p>
        </w:tc>
        <w:tc>
          <w:tcPr>
            <w:tcW w:w="1508" w:type="pct"/>
            <w:vAlign w:val="center"/>
          </w:tcPr>
          <w:p w:rsidR="005A48E2" w:rsidRPr="00C95F78" w:rsidRDefault="00AD1685" w:rsidP="00CD78AF">
            <w:pPr>
              <w:spacing w:before="100" w:beforeAutospacing="1" w:after="100" w:afterAutospacing="1" w:line="240" w:lineRule="auto"/>
              <w:contextualSpacing/>
              <w:jc w:val="both"/>
              <w:rPr>
                <w:rFonts w:cs="ArialMT"/>
                <w:sz w:val="20"/>
                <w:szCs w:val="20"/>
              </w:rPr>
            </w:pPr>
            <w:r w:rsidRPr="00C95F78">
              <w:rPr>
                <w:rFonts w:cs="ArialMT"/>
                <w:sz w:val="20"/>
                <w:szCs w:val="20"/>
              </w:rPr>
              <w:t>Motors with a rated output of 7.5 – 375 kW must meet EITHER the IE3 efficiency level OR the IE2 level if fitted with a variable speed drive</w:t>
            </w:r>
          </w:p>
        </w:tc>
        <w:tc>
          <w:tcPr>
            <w:tcW w:w="1712" w:type="pct"/>
            <w:vAlign w:val="center"/>
          </w:tcPr>
          <w:p w:rsidR="005A48E2" w:rsidRPr="00C95F78" w:rsidRDefault="00AD1685" w:rsidP="00CD78AF">
            <w:pPr>
              <w:spacing w:before="100" w:beforeAutospacing="1" w:after="100" w:afterAutospacing="1" w:line="240" w:lineRule="auto"/>
              <w:ind w:left="48"/>
              <w:contextualSpacing/>
              <w:jc w:val="both"/>
              <w:rPr>
                <w:rFonts w:cs="ArialMT"/>
                <w:sz w:val="20"/>
                <w:szCs w:val="20"/>
              </w:rPr>
            </w:pPr>
            <w:r w:rsidRPr="00C95F78">
              <w:rPr>
                <w:rFonts w:cs="ArialMT"/>
                <w:sz w:val="20"/>
                <w:szCs w:val="20"/>
              </w:rPr>
              <w:t>IE3 / Premium efficiency- extrapolated from IE2 with ~15% lower losses</w:t>
            </w:r>
          </w:p>
        </w:tc>
      </w:tr>
      <w:tr w:rsidR="00AD1685" w:rsidRPr="00C95F78" w:rsidTr="003E0E24">
        <w:trPr>
          <w:tblCellSpacing w:w="15" w:type="dxa"/>
        </w:trPr>
        <w:tc>
          <w:tcPr>
            <w:tcW w:w="1711" w:type="pct"/>
            <w:vAlign w:val="center"/>
          </w:tcPr>
          <w:p w:rsidR="00AD1685" w:rsidRPr="00C95F78" w:rsidRDefault="00AD1685" w:rsidP="00BB1A5E">
            <w:pPr>
              <w:spacing w:before="100" w:beforeAutospacing="1" w:after="100" w:afterAutospacing="1" w:line="240" w:lineRule="auto"/>
              <w:contextualSpacing/>
              <w:jc w:val="both"/>
              <w:rPr>
                <w:rFonts w:cs="ArialMT"/>
                <w:sz w:val="20"/>
                <w:szCs w:val="20"/>
              </w:rPr>
            </w:pPr>
            <w:r w:rsidRPr="00C95F78">
              <w:rPr>
                <w:rFonts w:cs="ArialMT"/>
                <w:sz w:val="20"/>
                <w:szCs w:val="20"/>
              </w:rPr>
              <w:t>Phase 3:From 1 January, 2017</w:t>
            </w:r>
          </w:p>
        </w:tc>
        <w:tc>
          <w:tcPr>
            <w:tcW w:w="1508" w:type="pct"/>
            <w:vAlign w:val="center"/>
          </w:tcPr>
          <w:p w:rsidR="005A48E2" w:rsidRPr="00C95F78" w:rsidRDefault="00AD1685" w:rsidP="00CD78AF">
            <w:pPr>
              <w:spacing w:before="100" w:beforeAutospacing="1" w:after="100" w:afterAutospacing="1" w:line="240" w:lineRule="auto"/>
              <w:contextualSpacing/>
              <w:jc w:val="both"/>
              <w:rPr>
                <w:rFonts w:cs="ArialMT"/>
                <w:sz w:val="20"/>
                <w:szCs w:val="20"/>
              </w:rPr>
            </w:pPr>
            <w:r w:rsidRPr="00C95F78">
              <w:rPr>
                <w:rFonts w:cs="ArialMT"/>
                <w:sz w:val="20"/>
                <w:szCs w:val="20"/>
              </w:rPr>
              <w:t>Motors with a rated output of 0.75 – 375 kW must meet EITHER the IE3 efficiency level OR the IE2 level if fitted with a variable speed drive</w:t>
            </w:r>
          </w:p>
        </w:tc>
        <w:tc>
          <w:tcPr>
            <w:tcW w:w="1712" w:type="pct"/>
            <w:vAlign w:val="center"/>
          </w:tcPr>
          <w:p w:rsidR="005A48E2" w:rsidRPr="00C95F78" w:rsidRDefault="00AD1685" w:rsidP="00CD78AF">
            <w:pPr>
              <w:spacing w:before="100" w:beforeAutospacing="1" w:after="100" w:afterAutospacing="1" w:line="240" w:lineRule="auto"/>
              <w:contextualSpacing/>
              <w:jc w:val="both"/>
              <w:rPr>
                <w:rFonts w:cs="ArialMT"/>
                <w:sz w:val="20"/>
                <w:szCs w:val="20"/>
              </w:rPr>
            </w:pPr>
            <w:r w:rsidRPr="00C95F78">
              <w:rPr>
                <w:rFonts w:cs="ArialMT"/>
                <w:noProof/>
                <w:sz w:val="20"/>
                <w:szCs w:val="20"/>
                <w:lang w:val="en-US"/>
              </w:rPr>
              <w:drawing>
                <wp:inline distT="0" distB="0" distL="0" distR="0">
                  <wp:extent cx="9525" cy="9525"/>
                  <wp:effectExtent l="0" t="0" r="0" b="0"/>
                  <wp:docPr id="75" name="Picture 21" descr="http://www04.abb.com/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04.abb.com/icons/ecblank.gif"/>
                          <pic:cNvPicPr>
                            <a:picLocks noChangeAspect="1" noChangeArrowheads="1"/>
                          </pic:cNvPicPr>
                        </pic:nvPicPr>
                        <pic:blipFill>
                          <a:blip r:embed="rId16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86C48" w:rsidRDefault="00A86C48" w:rsidP="00BB1A5E">
      <w:pPr>
        <w:pStyle w:val="Caption"/>
        <w:contextualSpacing/>
        <w:jc w:val="both"/>
        <w:rPr>
          <w:sz w:val="28"/>
          <w:szCs w:val="28"/>
        </w:rPr>
      </w:pPr>
      <w:bookmarkStart w:id="229" w:name="_Ref263084750"/>
    </w:p>
    <w:p w:rsidR="00A86C48" w:rsidRDefault="00A86C48" w:rsidP="00BB1A5E">
      <w:pPr>
        <w:spacing w:line="240" w:lineRule="auto"/>
        <w:jc w:val="both"/>
        <w:rPr>
          <w:color w:val="4F81BD" w:themeColor="accent1"/>
        </w:rPr>
      </w:pPr>
      <w:r>
        <w:br w:type="page"/>
      </w:r>
    </w:p>
    <w:p w:rsidR="00AD1685" w:rsidRPr="00C95F78" w:rsidRDefault="00AD1685" w:rsidP="00CD78AF">
      <w:pPr>
        <w:pStyle w:val="Caption"/>
        <w:contextualSpacing/>
        <w:jc w:val="center"/>
        <w:rPr>
          <w:sz w:val="28"/>
          <w:szCs w:val="28"/>
        </w:rPr>
      </w:pPr>
      <w:bookmarkStart w:id="230" w:name="_Toc263671771"/>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117</w:t>
      </w:r>
      <w:r w:rsidR="00D50FDC" w:rsidRPr="00C95F78">
        <w:rPr>
          <w:sz w:val="28"/>
          <w:szCs w:val="28"/>
        </w:rPr>
        <w:fldChar w:fldCharType="end"/>
      </w:r>
      <w:bookmarkEnd w:id="229"/>
      <w:r w:rsidRPr="00C95F78">
        <w:rPr>
          <w:sz w:val="28"/>
          <w:szCs w:val="28"/>
        </w:rPr>
        <w:t>: Comparison of International Motor Efficiency Standards</w:t>
      </w:r>
      <w:bookmarkEnd w:id="230"/>
    </w:p>
    <w:p w:rsidR="005A48E2" w:rsidRPr="00C95F78" w:rsidRDefault="00AD1685" w:rsidP="00CD78AF">
      <w:pPr>
        <w:autoSpaceDE w:val="0"/>
        <w:autoSpaceDN w:val="0"/>
        <w:adjustRightInd w:val="0"/>
        <w:spacing w:after="0" w:line="240" w:lineRule="auto"/>
        <w:contextualSpacing/>
        <w:jc w:val="center"/>
        <w:rPr>
          <w:rFonts w:cs="ArialMT"/>
          <w:sz w:val="20"/>
          <w:szCs w:val="20"/>
        </w:rPr>
      </w:pPr>
      <w:r w:rsidRPr="00C95F78">
        <w:rPr>
          <w:rFonts w:cs="ArialMT"/>
          <w:noProof/>
          <w:sz w:val="20"/>
          <w:szCs w:val="20"/>
          <w:lang w:val="en-US"/>
        </w:rPr>
        <w:drawing>
          <wp:inline distT="0" distB="0" distL="0" distR="0">
            <wp:extent cx="4257675" cy="2362200"/>
            <wp:effectExtent l="19050" t="0" r="9525"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srcRect/>
                    <a:stretch>
                      <a:fillRect/>
                    </a:stretch>
                  </pic:blipFill>
                  <pic:spPr bwMode="auto">
                    <a:xfrm>
                      <a:off x="0" y="0"/>
                      <a:ext cx="4257675" cy="2362200"/>
                    </a:xfrm>
                    <a:prstGeom prst="rect">
                      <a:avLst/>
                    </a:prstGeom>
                    <a:noFill/>
                    <a:ln w="9525">
                      <a:noFill/>
                      <a:miter lim="800000"/>
                      <a:headEnd/>
                      <a:tailEnd/>
                    </a:ln>
                  </pic:spPr>
                </pic:pic>
              </a:graphicData>
            </a:graphic>
          </wp:inline>
        </w:drawing>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BF6FD6" w:rsidP="00BB1A5E">
      <w:pPr>
        <w:autoSpaceDE w:val="0"/>
        <w:autoSpaceDN w:val="0"/>
        <w:adjustRightInd w:val="0"/>
        <w:spacing w:after="0" w:line="240" w:lineRule="auto"/>
        <w:contextualSpacing/>
        <w:jc w:val="both"/>
        <w:rPr>
          <w:rFonts w:cs="Helvetica"/>
        </w:rPr>
      </w:pPr>
      <w:r w:rsidRPr="00C95F78">
        <w:rPr>
          <w:rFonts w:cs="Helvetica"/>
        </w:rPr>
        <w:t>While complexity in national and regional standards exists, we are beginning to see a consolidation around three level</w:t>
      </w:r>
      <w:r w:rsidR="00CD3BAF" w:rsidRPr="00C95F78">
        <w:rPr>
          <w:rFonts w:cs="Helvetica"/>
        </w:rPr>
        <w:t>s</w:t>
      </w:r>
      <w:r w:rsidRPr="00C95F78">
        <w:rPr>
          <w:rFonts w:cs="Helvetica"/>
        </w:rPr>
        <w:t xml:space="preserve"> as defined by the International Electro</w:t>
      </w:r>
      <w:r w:rsidR="00FE20A5" w:rsidRPr="00C95F78">
        <w:rPr>
          <w:rFonts w:cs="Helvetica"/>
        </w:rPr>
        <w:t>-</w:t>
      </w:r>
      <w:r w:rsidRPr="00C95F78">
        <w:rPr>
          <w:rFonts w:cs="Helvetica"/>
        </w:rPr>
        <w:t>technical Commission (IEC).</w:t>
      </w:r>
      <w:r w:rsidR="00FE20A5" w:rsidRPr="00C95F78">
        <w:rPr>
          <w:rFonts w:cs="Helvetica"/>
        </w:rPr>
        <w:t xml:space="preserve"> These are IE1 (Standard Efficiency), IE2 (High Efficiency) and IE3 (Premium Efficiency). </w:t>
      </w:r>
      <w:r w:rsidR="00530C41" w:rsidRPr="00C95F78">
        <w:rPr>
          <w:rFonts w:cs="Helvetica"/>
        </w:rPr>
        <w:t xml:space="preserve">There is around 3-4% energy efficiency difference between IE1 and IE3 standard motors, but the differences, and the absolute level of efficiency, depend on the output of the motor relative to its rating (see </w:t>
      </w:r>
      <w:r w:rsidR="003C7AEB">
        <w:fldChar w:fldCharType="begin"/>
      </w:r>
      <w:r w:rsidR="003C7AEB">
        <w:instrText xml:space="preserve"> REF _Ref263087204 \h  \* MERGEFORMAT </w:instrText>
      </w:r>
      <w:r w:rsidR="003C7AEB">
        <w:fldChar w:fldCharType="separate"/>
      </w:r>
      <w:r w:rsidR="0005759A" w:rsidRPr="0005759A">
        <w:t xml:space="preserve">Figure </w:t>
      </w:r>
      <w:r w:rsidR="0005759A" w:rsidRPr="0005759A">
        <w:rPr>
          <w:noProof/>
        </w:rPr>
        <w:t>118</w:t>
      </w:r>
      <w:r w:rsidR="003C7AEB">
        <w:fldChar w:fldCharType="end"/>
      </w:r>
      <w:r w:rsidR="00530C41" w:rsidRPr="00C95F78">
        <w:rPr>
          <w:rFonts w:cs="Helvetica"/>
        </w:rPr>
        <w:t>).</w:t>
      </w:r>
      <w:r w:rsidR="00FE20A5" w:rsidRPr="00C95F78">
        <w:rPr>
          <w:rFonts w:cs="Helvetica"/>
        </w:rPr>
        <w:t xml:space="preserve"> </w:t>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FE20A5" w:rsidP="00BB1A5E">
      <w:pPr>
        <w:autoSpaceDE w:val="0"/>
        <w:autoSpaceDN w:val="0"/>
        <w:adjustRightInd w:val="0"/>
        <w:spacing w:after="0" w:line="240" w:lineRule="auto"/>
        <w:contextualSpacing/>
        <w:jc w:val="both"/>
        <w:rPr>
          <w:rFonts w:cs="Helvetica"/>
        </w:rPr>
      </w:pPr>
      <w:r w:rsidRPr="00C95F78">
        <w:rPr>
          <w:rFonts w:cs="Helvetica"/>
        </w:rPr>
        <w:t xml:space="preserve">IE3 is a new classification, but one that has been recognised by NEMA in the United States for some time. It generally applies to large, industrial motors. In Europe, this grade of motor will only become mandatory in some applications in 2017. In the United States, the required introduction date is from 2015 for larger motors, 2017 for smaller ones. </w:t>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530C41" w:rsidP="00CD78AF">
      <w:pPr>
        <w:pStyle w:val="Caption"/>
        <w:contextualSpacing/>
        <w:jc w:val="center"/>
        <w:rPr>
          <w:sz w:val="28"/>
          <w:szCs w:val="28"/>
        </w:rPr>
      </w:pPr>
      <w:bookmarkStart w:id="231" w:name="_Ref263087204"/>
      <w:bookmarkStart w:id="232" w:name="_Toc263671772"/>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118</w:t>
      </w:r>
      <w:r w:rsidR="00D50FDC" w:rsidRPr="00C95F78">
        <w:rPr>
          <w:sz w:val="28"/>
          <w:szCs w:val="28"/>
        </w:rPr>
        <w:fldChar w:fldCharType="end"/>
      </w:r>
      <w:bookmarkEnd w:id="231"/>
      <w:r w:rsidRPr="00C95F78">
        <w:rPr>
          <w:sz w:val="28"/>
          <w:szCs w:val="28"/>
        </w:rPr>
        <w:t>: IE Efficiency Classes for 50 Hz 4-Pole Motors</w:t>
      </w:r>
      <w:bookmarkEnd w:id="232"/>
    </w:p>
    <w:p w:rsidR="005A48E2" w:rsidRPr="00C95F78" w:rsidRDefault="006F41C9" w:rsidP="00CD78AF">
      <w:pPr>
        <w:autoSpaceDE w:val="0"/>
        <w:autoSpaceDN w:val="0"/>
        <w:adjustRightInd w:val="0"/>
        <w:spacing w:after="0" w:line="240" w:lineRule="auto"/>
        <w:contextualSpacing/>
        <w:jc w:val="center"/>
        <w:rPr>
          <w:rFonts w:cs="Helvetica"/>
        </w:rPr>
      </w:pPr>
      <w:r w:rsidRPr="00C95F78">
        <w:rPr>
          <w:rFonts w:cs="Helvetica"/>
          <w:noProof/>
          <w:lang w:val="en-US"/>
        </w:rPr>
        <w:drawing>
          <wp:inline distT="0" distB="0" distL="0" distR="0">
            <wp:extent cx="5830570" cy="3550920"/>
            <wp:effectExtent l="1905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srcRect/>
                    <a:stretch>
                      <a:fillRect/>
                    </a:stretch>
                  </pic:blipFill>
                  <pic:spPr bwMode="auto">
                    <a:xfrm>
                      <a:off x="0" y="0"/>
                      <a:ext cx="5830570" cy="3550920"/>
                    </a:xfrm>
                    <a:prstGeom prst="rect">
                      <a:avLst/>
                    </a:prstGeom>
                    <a:noFill/>
                    <a:ln w="9525">
                      <a:noFill/>
                      <a:miter lim="800000"/>
                      <a:headEnd/>
                      <a:tailEnd/>
                    </a:ln>
                  </pic:spPr>
                </pic:pic>
              </a:graphicData>
            </a:graphic>
          </wp:inline>
        </w:drawing>
      </w:r>
    </w:p>
    <w:p w:rsidR="005A48E2" w:rsidRPr="00C95F78" w:rsidRDefault="00086B6A" w:rsidP="00BB1A5E">
      <w:pPr>
        <w:autoSpaceDE w:val="0"/>
        <w:autoSpaceDN w:val="0"/>
        <w:adjustRightInd w:val="0"/>
        <w:spacing w:after="0" w:line="240" w:lineRule="auto"/>
        <w:contextualSpacing/>
        <w:jc w:val="both"/>
        <w:rPr>
          <w:rFonts w:cs="Helvetica"/>
        </w:rPr>
      </w:pPr>
      <w:r w:rsidRPr="00C95F78">
        <w:rPr>
          <w:rFonts w:cs="Helvetica"/>
        </w:rPr>
        <w:t xml:space="preserve">The United States and a few other countries have already introduced legislation requiring IE2 standard motors in certain applications. Many others have plans to introduce such rules. In Europe, IE2 </w:t>
      </w:r>
      <w:r w:rsidR="005028AE">
        <w:rPr>
          <w:rFonts w:cs="Helvetica"/>
        </w:rPr>
        <w:t xml:space="preserve">will </w:t>
      </w:r>
      <w:r w:rsidRPr="00C95F78">
        <w:rPr>
          <w:rFonts w:cs="Helvetica"/>
        </w:rPr>
        <w:t xml:space="preserve">become the obligatory standard from 2011. For some motors, this is also true of China in 2011, although for other motors a minimum IE1 standard will be introduced in that year replacing earlier, less rigorous, </w:t>
      </w:r>
      <w:r w:rsidR="005028AE">
        <w:rPr>
          <w:rFonts w:cs="Helvetica"/>
        </w:rPr>
        <w:t>requirements</w:t>
      </w:r>
      <w:r w:rsidRPr="00C95F78">
        <w:rPr>
          <w:rFonts w:cs="Helvetica"/>
        </w:rPr>
        <w:t>.</w:t>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530C41" w:rsidP="00BB1A5E">
      <w:pPr>
        <w:autoSpaceDE w:val="0"/>
        <w:autoSpaceDN w:val="0"/>
        <w:adjustRightInd w:val="0"/>
        <w:spacing w:after="0" w:line="240" w:lineRule="auto"/>
        <w:contextualSpacing/>
        <w:jc w:val="both"/>
        <w:rPr>
          <w:rFonts w:cs="GillSans"/>
        </w:rPr>
      </w:pPr>
      <w:r w:rsidRPr="00C95F78">
        <w:rPr>
          <w:rFonts w:cs="GillSans"/>
        </w:rPr>
        <w:t xml:space="preserve">While the focus is on motors alone, some international standardisation is being attempted for complete motor </w:t>
      </w:r>
      <w:r w:rsidR="00BB2B49" w:rsidRPr="00C95F78">
        <w:rPr>
          <w:rFonts w:cs="GillSans"/>
        </w:rPr>
        <w:t xml:space="preserve">driven </w:t>
      </w:r>
      <w:r w:rsidRPr="00C95F78">
        <w:rPr>
          <w:rFonts w:cs="GillSans"/>
        </w:rPr>
        <w:t xml:space="preserve">systems </w:t>
      </w:r>
      <w:r w:rsidR="00BB2B49" w:rsidRPr="00C95F78">
        <w:rPr>
          <w:rFonts w:cs="GillSans"/>
        </w:rPr>
        <w:t>where</w:t>
      </w:r>
      <w:r w:rsidRPr="00C95F78">
        <w:rPr>
          <w:rFonts w:cs="GillSans"/>
        </w:rPr>
        <w:t xml:space="preserve"> sold as an integrated unit</w:t>
      </w:r>
      <w:r w:rsidR="00BB2B49" w:rsidRPr="00C95F78">
        <w:rPr>
          <w:rFonts w:cs="GillSans"/>
        </w:rPr>
        <w:t xml:space="preserve"> through a process of classification and labelling</w:t>
      </w:r>
      <w:r w:rsidRPr="00C95F78">
        <w:rPr>
          <w:rFonts w:cs="GillSans"/>
        </w:rPr>
        <w:t xml:space="preserve">. For fan systems, </w:t>
      </w:r>
      <w:r w:rsidR="00BB2B49" w:rsidRPr="00C95F78">
        <w:rPr>
          <w:rFonts w:cs="GillSans"/>
        </w:rPr>
        <w:t xml:space="preserve">for example, </w:t>
      </w:r>
      <w:r w:rsidRPr="00C95F78">
        <w:rPr>
          <w:rFonts w:cs="GillSans"/>
        </w:rPr>
        <w:t>there are at present several different eff</w:t>
      </w:r>
      <w:r w:rsidR="00BB2B49" w:rsidRPr="00C95F78">
        <w:rPr>
          <w:rFonts w:cs="GillSans"/>
        </w:rPr>
        <w:t>iciency test standards in the European Union</w:t>
      </w:r>
      <w:r w:rsidRPr="00C95F78">
        <w:rPr>
          <w:rFonts w:cs="GillSans"/>
        </w:rPr>
        <w:t xml:space="preserve">. A single, widely accepted standard would, of course, be better. For smaller water circulation pumps a definition of general efficiency levels is still lacking. One problem is that the tolerances of published pump data are currently too large to </w:t>
      </w:r>
      <w:r w:rsidR="005028AE">
        <w:rPr>
          <w:rFonts w:cs="GillSans"/>
        </w:rPr>
        <w:t xml:space="preserve">be </w:t>
      </w:r>
      <w:r w:rsidR="005028AE" w:rsidRPr="00C95F78">
        <w:rPr>
          <w:rFonts w:cs="GillSans"/>
        </w:rPr>
        <w:t>eas</w:t>
      </w:r>
      <w:r w:rsidR="005028AE">
        <w:rPr>
          <w:rFonts w:cs="GillSans"/>
        </w:rPr>
        <w:t>ily</w:t>
      </w:r>
      <w:r w:rsidR="005028AE" w:rsidRPr="00C95F78">
        <w:rPr>
          <w:rFonts w:cs="GillSans"/>
        </w:rPr>
        <w:t xml:space="preserve"> classifi</w:t>
      </w:r>
      <w:r w:rsidR="005028AE">
        <w:rPr>
          <w:rFonts w:cs="GillSans"/>
        </w:rPr>
        <w:t>ed</w:t>
      </w:r>
      <w:r w:rsidRPr="00C95F78">
        <w:rPr>
          <w:rFonts w:cs="GillSans"/>
        </w:rPr>
        <w:t>.</w:t>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BB2B49" w:rsidP="00BB1A5E">
      <w:pPr>
        <w:autoSpaceDE w:val="0"/>
        <w:autoSpaceDN w:val="0"/>
        <w:adjustRightInd w:val="0"/>
        <w:spacing w:after="0" w:line="240" w:lineRule="auto"/>
        <w:contextualSpacing/>
        <w:jc w:val="both"/>
        <w:rPr>
          <w:rFonts w:cs="Helvetica"/>
        </w:rPr>
      </w:pPr>
      <w:r w:rsidRPr="00C95F78">
        <w:rPr>
          <w:rFonts w:cs="GillSans"/>
        </w:rPr>
        <w:t xml:space="preserve">Once a consensus regarding the classification of the efficiency of motor driven systems is achieved, manufacturers and users can then move to create a labelling scheme. </w:t>
      </w:r>
      <w:r w:rsidR="00CD3BAF" w:rsidRPr="00C95F78">
        <w:rPr>
          <w:rFonts w:cs="GillSans"/>
        </w:rPr>
        <w:t xml:space="preserve">With </w:t>
      </w:r>
      <w:r w:rsidRPr="00C95F78">
        <w:rPr>
          <w:rFonts w:cs="GillSans"/>
        </w:rPr>
        <w:t>time, legislation on standards may follow. For the present, though, legislation-based installation of higher efficiency motors will be limited to stand alone motors.</w:t>
      </w:r>
    </w:p>
    <w:p w:rsidR="005A48E2" w:rsidRPr="00C95F78" w:rsidRDefault="005A48E2" w:rsidP="00BB1A5E">
      <w:pPr>
        <w:autoSpaceDE w:val="0"/>
        <w:autoSpaceDN w:val="0"/>
        <w:adjustRightInd w:val="0"/>
        <w:spacing w:after="0" w:line="240" w:lineRule="auto"/>
        <w:contextualSpacing/>
        <w:jc w:val="both"/>
        <w:rPr>
          <w:rFonts w:cs="Helvetica"/>
        </w:rPr>
      </w:pPr>
    </w:p>
    <w:p w:rsidR="005A48E2" w:rsidRPr="00C95F78" w:rsidRDefault="00BB2B49"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Market Forecasts by Sector</w:t>
      </w:r>
    </w:p>
    <w:p w:rsidR="005A48E2" w:rsidRPr="00C95F78" w:rsidRDefault="005A48E2" w:rsidP="00BB1A5E">
      <w:pPr>
        <w:spacing w:after="0" w:line="240" w:lineRule="auto"/>
        <w:contextualSpacing/>
        <w:jc w:val="both"/>
      </w:pPr>
    </w:p>
    <w:p w:rsidR="005A48E2" w:rsidRPr="00C95F78" w:rsidRDefault="00BB2B49" w:rsidP="00BB1A5E">
      <w:pPr>
        <w:spacing w:after="0" w:line="240" w:lineRule="auto"/>
        <w:contextualSpacing/>
        <w:jc w:val="both"/>
      </w:pPr>
      <w:r w:rsidRPr="00C95F78">
        <w:t>As the main market for winding wire, motors form a huge market for copper. With the requirement for higher efficiency standards, it is reasonable to assume that there will be some increase in copper content for any given power rating. As we sha</w:t>
      </w:r>
      <w:r w:rsidR="008A6438">
        <w:t>ll see below in “The Impact on C</w:t>
      </w:r>
      <w:r w:rsidRPr="00C95F78">
        <w:t>opper”</w:t>
      </w:r>
      <w:r w:rsidR="005028AE">
        <w:t xml:space="preserve"> section</w:t>
      </w:r>
      <w:r w:rsidRPr="00C95F78">
        <w:t xml:space="preserve">, however, this is not necessarily assured. </w:t>
      </w:r>
    </w:p>
    <w:p w:rsidR="005A48E2" w:rsidRPr="00C95F78" w:rsidRDefault="005A48E2" w:rsidP="00BB1A5E">
      <w:pPr>
        <w:spacing w:after="0" w:line="240" w:lineRule="auto"/>
        <w:contextualSpacing/>
        <w:jc w:val="both"/>
      </w:pPr>
    </w:p>
    <w:p w:rsidR="005A48E2" w:rsidRPr="00C95F78" w:rsidRDefault="00B72DBD" w:rsidP="00BB1A5E">
      <w:pPr>
        <w:spacing w:after="0" w:line="240" w:lineRule="auto"/>
        <w:contextualSpacing/>
        <w:jc w:val="both"/>
      </w:pPr>
      <w:r w:rsidRPr="00C95F78">
        <w:t>As well as altering the specification of motors when they are replaced at the end of their life cycle, or where newly introduced, it is likely that there will be some replacement before end of life. The evident improved economics of modern motor and drive systems may lead to some earlier replacement, thus boosting the size of the motor market in coming years.</w:t>
      </w:r>
    </w:p>
    <w:p w:rsidR="005A48E2" w:rsidRPr="00C95F78" w:rsidRDefault="005A48E2" w:rsidP="00BB1A5E">
      <w:pPr>
        <w:spacing w:after="0" w:line="240" w:lineRule="auto"/>
        <w:contextualSpacing/>
        <w:jc w:val="both"/>
      </w:pPr>
    </w:p>
    <w:p w:rsidR="005A48E2" w:rsidRPr="00C95F78" w:rsidRDefault="00086B6A" w:rsidP="00BB1A5E">
      <w:pPr>
        <w:spacing w:after="0" w:line="240" w:lineRule="auto"/>
        <w:contextualSpacing/>
        <w:jc w:val="both"/>
      </w:pPr>
      <w:r w:rsidRPr="00C95F78">
        <w:t>A market forecast for motors measured in terms of copper content is presented below. It is based on the following simplifying assumptions:</w:t>
      </w:r>
    </w:p>
    <w:p w:rsidR="005A48E2" w:rsidRPr="00C95F78" w:rsidRDefault="005A48E2" w:rsidP="00BB1A5E">
      <w:pPr>
        <w:spacing w:after="0" w:line="240" w:lineRule="auto"/>
        <w:contextualSpacing/>
        <w:jc w:val="both"/>
      </w:pPr>
    </w:p>
    <w:p w:rsidR="005A48E2" w:rsidRPr="00C95F78" w:rsidRDefault="00086B6A" w:rsidP="00BB1A5E">
      <w:pPr>
        <w:pStyle w:val="ListParagraph"/>
        <w:numPr>
          <w:ilvl w:val="0"/>
          <w:numId w:val="15"/>
        </w:numPr>
        <w:spacing w:after="120" w:line="240" w:lineRule="auto"/>
        <w:ind w:left="714" w:hanging="357"/>
        <w:contextualSpacing w:val="0"/>
        <w:jc w:val="both"/>
      </w:pPr>
      <w:r w:rsidRPr="00C95F78">
        <w:t>The size of the motor market will relate directly to GDP</w:t>
      </w:r>
      <w:r w:rsidR="00EE7E6C" w:rsidRPr="00C95F78">
        <w:t>, except for traction motors in vehicles where copper use will be in line with that shown in Section 2</w:t>
      </w:r>
      <w:r w:rsidRPr="00C95F78">
        <w:t>.</w:t>
      </w:r>
    </w:p>
    <w:p w:rsidR="005A48E2" w:rsidRPr="00C95F78" w:rsidRDefault="00EE7E6C" w:rsidP="00BB1A5E">
      <w:pPr>
        <w:pStyle w:val="ListParagraph"/>
        <w:numPr>
          <w:ilvl w:val="0"/>
          <w:numId w:val="15"/>
        </w:numPr>
        <w:spacing w:after="120" w:line="240" w:lineRule="auto"/>
        <w:ind w:left="714" w:hanging="357"/>
        <w:contextualSpacing w:val="0"/>
        <w:jc w:val="both"/>
      </w:pPr>
      <w:r w:rsidRPr="00C95F78">
        <w:t xml:space="preserve">The reduced share of heavy industry as a share of </w:t>
      </w:r>
      <w:r w:rsidR="005B43AE">
        <w:t xml:space="preserve">total </w:t>
      </w:r>
      <w:r w:rsidRPr="00C95F78">
        <w:t>GDP would mean that, without any positive influence on the market, the motor market would fall by 0.25% p.a. in relation to GDP.</w:t>
      </w:r>
    </w:p>
    <w:p w:rsidR="005A48E2" w:rsidRPr="00C95F78" w:rsidRDefault="00EE7E6C" w:rsidP="00BB1A5E">
      <w:pPr>
        <w:pStyle w:val="ListParagraph"/>
        <w:numPr>
          <w:ilvl w:val="0"/>
          <w:numId w:val="15"/>
        </w:numPr>
        <w:spacing w:after="120" w:line="240" w:lineRule="auto"/>
        <w:ind w:left="714" w:hanging="357"/>
        <w:contextualSpacing w:val="0"/>
        <w:jc w:val="both"/>
      </w:pPr>
      <w:r w:rsidRPr="00C95F78">
        <w:t>Higher motor efficiency, largely enforced by le</w:t>
      </w:r>
      <w:r w:rsidR="0011607E" w:rsidRPr="00C95F78">
        <w:t>gislation, will result in a 0.5</w:t>
      </w:r>
      <w:r w:rsidRPr="00C95F78">
        <w:t>% p.a. rate of growth in copper use for any given output of motors (excluding traction motors in vehicles).</w:t>
      </w:r>
    </w:p>
    <w:p w:rsidR="005A48E2" w:rsidRPr="00C95F78" w:rsidRDefault="00EE7E6C" w:rsidP="00BB1A5E">
      <w:pPr>
        <w:pStyle w:val="ListParagraph"/>
        <w:numPr>
          <w:ilvl w:val="0"/>
          <w:numId w:val="15"/>
        </w:numPr>
        <w:spacing w:after="0" w:line="240" w:lineRule="auto"/>
        <w:jc w:val="both"/>
      </w:pPr>
      <w:r w:rsidRPr="00C95F78">
        <w:t>Advanced replacement of motors to voluntarily meet higher energy efficiency standards will</w:t>
      </w:r>
      <w:r w:rsidR="00A85F8D" w:rsidRPr="00C95F78">
        <w:t xml:space="preserve"> lead to an additional 0.25% p.a. growth in the size of the motor market.</w:t>
      </w:r>
    </w:p>
    <w:p w:rsidR="005A48E2" w:rsidRPr="00C95F78" w:rsidRDefault="005A48E2" w:rsidP="00BB1A5E">
      <w:pPr>
        <w:spacing w:after="0" w:line="240" w:lineRule="auto"/>
        <w:jc w:val="both"/>
      </w:pPr>
    </w:p>
    <w:p w:rsidR="005A48E2" w:rsidRPr="00C95F78" w:rsidRDefault="00A85F8D" w:rsidP="00BB1A5E">
      <w:pPr>
        <w:spacing w:after="0" w:line="240" w:lineRule="auto"/>
        <w:jc w:val="both"/>
      </w:pPr>
      <w:r w:rsidRPr="00C95F78">
        <w:t xml:space="preserve">It can be seen that point 3) presupposes some increase in the average copper content of motors. This does not necessarily mean a “new” motor market, as the increase may be achieved by putting more copper wire in the stator windings, for example. </w:t>
      </w:r>
    </w:p>
    <w:p w:rsidR="005A48E2" w:rsidRPr="00C95F78" w:rsidRDefault="005A48E2" w:rsidP="00BB1A5E">
      <w:pPr>
        <w:spacing w:after="0" w:line="240" w:lineRule="auto"/>
        <w:jc w:val="both"/>
      </w:pPr>
    </w:p>
    <w:p w:rsidR="005A48E2" w:rsidRPr="00C95F78" w:rsidRDefault="00A85F8D" w:rsidP="00BB1A5E">
      <w:pPr>
        <w:spacing w:after="0" w:line="240" w:lineRule="auto"/>
        <w:jc w:val="both"/>
      </w:pPr>
      <w:r w:rsidRPr="00C95F78">
        <w:t>If new designs with high content are successful, then it is possible that the rate of unit increase in copper content could be higher than that forecast. On the other hand, low copper technologies may lead to a slightly lower rate of increase. The relative market positioning of high and low copper solutions is discussed below in “The Impact on Copper”</w:t>
      </w:r>
      <w:r w:rsidR="00C461A7">
        <w:t xml:space="preserve"> section</w:t>
      </w:r>
      <w:r w:rsidRPr="00C95F78">
        <w:t>.</w:t>
      </w:r>
    </w:p>
    <w:p w:rsidR="005A48E2" w:rsidRPr="00C95F78" w:rsidRDefault="005A48E2" w:rsidP="00BB1A5E">
      <w:pPr>
        <w:spacing w:after="0" w:line="240" w:lineRule="auto"/>
        <w:jc w:val="both"/>
      </w:pPr>
    </w:p>
    <w:p w:rsidR="005A48E2" w:rsidRPr="00C95F78" w:rsidRDefault="00B72DBD" w:rsidP="00CD78AF">
      <w:pPr>
        <w:pStyle w:val="Caption"/>
        <w:contextualSpacing/>
        <w:jc w:val="center"/>
        <w:rPr>
          <w:sz w:val="28"/>
          <w:szCs w:val="28"/>
        </w:rPr>
      </w:pPr>
      <w:bookmarkStart w:id="233" w:name="_Toc263671773"/>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119</w:t>
      </w:r>
      <w:r w:rsidR="00D50FDC" w:rsidRPr="00C95F78">
        <w:rPr>
          <w:sz w:val="28"/>
          <w:szCs w:val="28"/>
        </w:rPr>
        <w:fldChar w:fldCharType="end"/>
      </w:r>
      <w:r w:rsidRPr="00C95F78">
        <w:rPr>
          <w:sz w:val="28"/>
          <w:szCs w:val="28"/>
        </w:rPr>
        <w:t>: Forecast Motor Market, Defined by Copper Content (Kt Cu)</w:t>
      </w:r>
      <w:bookmarkEnd w:id="233"/>
    </w:p>
    <w:p w:rsidR="005A48E2" w:rsidRPr="00C95F78" w:rsidRDefault="005A48E2" w:rsidP="00CD78AF">
      <w:pPr>
        <w:spacing w:after="0" w:line="240" w:lineRule="auto"/>
        <w:contextualSpacing/>
        <w:jc w:val="center"/>
      </w:pPr>
      <w:r w:rsidRPr="00C95F78">
        <w:rPr>
          <w:noProof/>
          <w:lang w:val="en-US"/>
        </w:rPr>
        <w:drawing>
          <wp:inline distT="0" distB="0" distL="0" distR="0">
            <wp:extent cx="5831840" cy="1439130"/>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5831840" cy="1439130"/>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BB2B49"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The Impact on Copper</w:t>
      </w:r>
    </w:p>
    <w:p w:rsidR="005A48E2" w:rsidRPr="00C95F78" w:rsidRDefault="005A48E2" w:rsidP="00BB1A5E">
      <w:pPr>
        <w:spacing w:after="0" w:line="240" w:lineRule="auto"/>
        <w:contextualSpacing/>
        <w:jc w:val="both"/>
      </w:pPr>
    </w:p>
    <w:p w:rsidR="005A48E2" w:rsidRPr="00C95F78" w:rsidRDefault="00A85F8D" w:rsidP="00BB1A5E">
      <w:pPr>
        <w:spacing w:after="0" w:line="240" w:lineRule="auto"/>
        <w:contextualSpacing/>
        <w:jc w:val="both"/>
      </w:pPr>
      <w:r w:rsidRPr="00C95F78">
        <w:t xml:space="preserve">While the trend towards greater motor efficiency is certain, the way in which this will be </w:t>
      </w:r>
      <w:r w:rsidR="00C461A7">
        <w:t xml:space="preserve">accomplished </w:t>
      </w:r>
      <w:r w:rsidRPr="00C95F78">
        <w:t xml:space="preserve">is not. </w:t>
      </w:r>
      <w:r w:rsidR="00F87634" w:rsidRPr="00C95F78">
        <w:t>There is more than one way in which higher motor efficiency can be achieved, with different implications for copper content and especially for what may be defined as new markets for copper.</w:t>
      </w:r>
    </w:p>
    <w:p w:rsidR="005A48E2" w:rsidRPr="00C95F78" w:rsidRDefault="005A48E2" w:rsidP="00BB1A5E">
      <w:pPr>
        <w:spacing w:after="0" w:line="240" w:lineRule="auto"/>
        <w:contextualSpacing/>
        <w:jc w:val="both"/>
      </w:pPr>
    </w:p>
    <w:p w:rsidR="005A48E2" w:rsidRPr="00C95F78" w:rsidRDefault="00F87634" w:rsidP="00BB1A5E">
      <w:pPr>
        <w:spacing w:after="0" w:line="240" w:lineRule="auto"/>
        <w:contextualSpacing/>
        <w:jc w:val="both"/>
      </w:pPr>
      <w:r w:rsidRPr="00C95F78">
        <w:t xml:space="preserve">Greater efficiency is achieved by reducing energy losses. These losses </w:t>
      </w:r>
      <w:r w:rsidR="00C461A7" w:rsidRPr="00C95F78">
        <w:t>f</w:t>
      </w:r>
      <w:r w:rsidR="00C461A7">
        <w:t>all</w:t>
      </w:r>
      <w:r w:rsidR="00C461A7" w:rsidRPr="00C95F78">
        <w:t xml:space="preserve"> </w:t>
      </w:r>
      <w:r w:rsidRPr="00C95F78">
        <w:t>into several different categories:</w:t>
      </w:r>
    </w:p>
    <w:p w:rsidR="005A48E2" w:rsidRPr="00C95F78" w:rsidRDefault="005A48E2" w:rsidP="00BB1A5E">
      <w:pPr>
        <w:spacing w:after="0" w:line="240" w:lineRule="auto"/>
        <w:contextualSpacing/>
        <w:jc w:val="both"/>
      </w:pPr>
    </w:p>
    <w:p w:rsidR="005A48E2" w:rsidRPr="00C95F78" w:rsidRDefault="00714D75" w:rsidP="00BB1A5E">
      <w:pPr>
        <w:pStyle w:val="ListParagraph"/>
        <w:numPr>
          <w:ilvl w:val="0"/>
          <w:numId w:val="16"/>
        </w:numPr>
        <w:autoSpaceDE w:val="0"/>
        <w:autoSpaceDN w:val="0"/>
        <w:adjustRightInd w:val="0"/>
        <w:spacing w:after="120" w:line="240" w:lineRule="auto"/>
        <w:ind w:left="714" w:hanging="357"/>
        <w:contextualSpacing w:val="0"/>
        <w:jc w:val="both"/>
        <w:rPr>
          <w:rFonts w:cs="GillSans"/>
        </w:rPr>
      </w:pPr>
      <w:r w:rsidRPr="00C95F78">
        <w:rPr>
          <w:rFonts w:cs="GillSans"/>
        </w:rPr>
        <w:t>Electrical losses due to electrical resistance of the windings, conductor bars, and end rings</w:t>
      </w:r>
      <w:r w:rsidR="00CD3BAF" w:rsidRPr="00C95F78">
        <w:rPr>
          <w:rFonts w:cs="GillSans"/>
        </w:rPr>
        <w:t>.</w:t>
      </w:r>
    </w:p>
    <w:p w:rsidR="005A48E2" w:rsidRPr="00C95F78" w:rsidRDefault="00714D75" w:rsidP="00BB1A5E">
      <w:pPr>
        <w:pStyle w:val="ListParagraph"/>
        <w:numPr>
          <w:ilvl w:val="0"/>
          <w:numId w:val="16"/>
        </w:numPr>
        <w:autoSpaceDE w:val="0"/>
        <w:autoSpaceDN w:val="0"/>
        <w:adjustRightInd w:val="0"/>
        <w:spacing w:after="120" w:line="240" w:lineRule="auto"/>
        <w:ind w:left="714" w:hanging="357"/>
        <w:contextualSpacing w:val="0"/>
        <w:jc w:val="both"/>
        <w:rPr>
          <w:rFonts w:cs="GillSans"/>
        </w:rPr>
      </w:pPr>
      <w:r w:rsidRPr="00C95F78">
        <w:rPr>
          <w:rFonts w:cs="GillSans"/>
        </w:rPr>
        <w:t>Magnetic losses due to hysteresis and eddy currents of the magnetic field in the steel laminations</w:t>
      </w:r>
      <w:r w:rsidR="00CD3BAF" w:rsidRPr="00C95F78">
        <w:rPr>
          <w:rFonts w:cs="GillSans"/>
        </w:rPr>
        <w:t>.</w:t>
      </w:r>
    </w:p>
    <w:p w:rsidR="005A48E2" w:rsidRPr="00C95F78" w:rsidRDefault="00714D75" w:rsidP="00BB1A5E">
      <w:pPr>
        <w:pStyle w:val="ListParagraph"/>
        <w:numPr>
          <w:ilvl w:val="0"/>
          <w:numId w:val="16"/>
        </w:numPr>
        <w:autoSpaceDE w:val="0"/>
        <w:autoSpaceDN w:val="0"/>
        <w:adjustRightInd w:val="0"/>
        <w:spacing w:after="120" w:line="240" w:lineRule="auto"/>
        <w:ind w:left="714" w:hanging="357"/>
        <w:contextualSpacing w:val="0"/>
        <w:jc w:val="both"/>
        <w:rPr>
          <w:rFonts w:cs="GillSans"/>
        </w:rPr>
      </w:pPr>
      <w:r w:rsidRPr="00C95F78">
        <w:rPr>
          <w:rFonts w:cs="GillSans"/>
        </w:rPr>
        <w:t>Stray load losses due to imperfections in the flux (leakage, harmonics, irregularities, etc.)</w:t>
      </w:r>
      <w:r w:rsidR="00CD3BAF" w:rsidRPr="00C95F78">
        <w:rPr>
          <w:rFonts w:cs="GillSans"/>
        </w:rPr>
        <w:t>.</w:t>
      </w:r>
    </w:p>
    <w:p w:rsidR="005A48E2" w:rsidRPr="00C95F78" w:rsidRDefault="00714D75" w:rsidP="00BB1A5E">
      <w:pPr>
        <w:pStyle w:val="ListParagraph"/>
        <w:numPr>
          <w:ilvl w:val="0"/>
          <w:numId w:val="16"/>
        </w:numPr>
        <w:autoSpaceDE w:val="0"/>
        <w:autoSpaceDN w:val="0"/>
        <w:adjustRightInd w:val="0"/>
        <w:spacing w:after="120" w:line="240" w:lineRule="auto"/>
        <w:ind w:left="714" w:hanging="357"/>
        <w:contextualSpacing w:val="0"/>
        <w:jc w:val="both"/>
        <w:rPr>
          <w:rFonts w:cs="GillSans"/>
        </w:rPr>
      </w:pPr>
      <w:r w:rsidRPr="00C95F78">
        <w:rPr>
          <w:rFonts w:cs="GillSans"/>
        </w:rPr>
        <w:t>Mechanical losses due to friction</w:t>
      </w:r>
      <w:r w:rsidR="00CD3BAF" w:rsidRPr="00C95F78">
        <w:rPr>
          <w:rFonts w:cs="GillSans"/>
        </w:rPr>
        <w:t>.</w:t>
      </w:r>
    </w:p>
    <w:p w:rsidR="005A48E2" w:rsidRPr="00C95F78" w:rsidRDefault="00714D75" w:rsidP="00BB1A5E">
      <w:pPr>
        <w:pStyle w:val="ListParagraph"/>
        <w:numPr>
          <w:ilvl w:val="0"/>
          <w:numId w:val="16"/>
        </w:numPr>
        <w:autoSpaceDE w:val="0"/>
        <w:autoSpaceDN w:val="0"/>
        <w:adjustRightInd w:val="0"/>
        <w:spacing w:after="0" w:line="240" w:lineRule="auto"/>
        <w:jc w:val="both"/>
        <w:rPr>
          <w:rFonts w:cs="GillSans"/>
        </w:rPr>
      </w:pPr>
      <w:r w:rsidRPr="00C95F78">
        <w:rPr>
          <w:rFonts w:cs="GillSans"/>
        </w:rPr>
        <w:t xml:space="preserve">Brush </w:t>
      </w:r>
      <w:r w:rsidR="00C461A7">
        <w:rPr>
          <w:rFonts w:cs="GillSans"/>
        </w:rPr>
        <w:t>c</w:t>
      </w:r>
      <w:r w:rsidR="00C461A7" w:rsidRPr="00C95F78">
        <w:rPr>
          <w:rFonts w:cs="GillSans"/>
        </w:rPr>
        <w:t xml:space="preserve">ontact </w:t>
      </w:r>
      <w:r w:rsidRPr="00C95F78">
        <w:rPr>
          <w:rFonts w:cs="GillSans"/>
        </w:rPr>
        <w:t>losses</w:t>
      </w:r>
      <w:r w:rsidR="00CD3BAF" w:rsidRPr="00C95F78">
        <w:rPr>
          <w:rFonts w:cs="GillSans"/>
        </w:rPr>
        <w:t>.</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F87634" w:rsidP="00BB1A5E">
      <w:pPr>
        <w:autoSpaceDE w:val="0"/>
        <w:autoSpaceDN w:val="0"/>
        <w:adjustRightInd w:val="0"/>
        <w:spacing w:after="0" w:line="240" w:lineRule="auto"/>
        <w:contextualSpacing/>
        <w:jc w:val="both"/>
        <w:rPr>
          <w:rFonts w:cs="GillSans"/>
        </w:rPr>
      </w:pPr>
      <w:r w:rsidRPr="00C95F78">
        <w:rPr>
          <w:rFonts w:cs="GillSans"/>
        </w:rPr>
        <w:t>P</w:t>
      </w:r>
      <w:r w:rsidR="00714D75" w:rsidRPr="00C95F78">
        <w:rPr>
          <w:rFonts w:cs="GillSans"/>
        </w:rPr>
        <w:t xml:space="preserve">ercentage </w:t>
      </w:r>
      <w:r w:rsidRPr="00C95F78">
        <w:rPr>
          <w:rFonts w:cs="GillSans"/>
        </w:rPr>
        <w:t>energy losses increase</w:t>
      </w:r>
      <w:r w:rsidR="00714D75" w:rsidRPr="00C95F78">
        <w:rPr>
          <w:rFonts w:cs="GillSans"/>
        </w:rPr>
        <w:t xml:space="preserve"> when the motor’s load is further away from its nominal value.</w:t>
      </w:r>
      <w:r w:rsidR="00CE2BC8" w:rsidRPr="00C95F78">
        <w:rPr>
          <w:rFonts w:cs="GillSans"/>
        </w:rPr>
        <w:t xml:space="preserve"> The most significant </w:t>
      </w:r>
      <w:r w:rsidR="002D75DC" w:rsidRPr="00C95F78">
        <w:rPr>
          <w:rFonts w:cs="GillSans"/>
        </w:rPr>
        <w:t>losses are electrical and</w:t>
      </w:r>
      <w:r w:rsidR="00CE2BC8" w:rsidRPr="00C95F78">
        <w:rPr>
          <w:rFonts w:cs="GillSans"/>
        </w:rPr>
        <w:t xml:space="preserve"> stray load</w:t>
      </w:r>
      <w:r w:rsidR="002D75DC" w:rsidRPr="00C95F78">
        <w:rPr>
          <w:rFonts w:cs="GillSans"/>
        </w:rPr>
        <w:t xml:space="preserve"> losses</w:t>
      </w:r>
      <w:r w:rsidR="00CE2BC8" w:rsidRPr="00C95F78">
        <w:rPr>
          <w:rFonts w:cs="GillSans"/>
        </w:rPr>
        <w:t>.</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F87634" w:rsidP="00BB1A5E">
      <w:pPr>
        <w:autoSpaceDE w:val="0"/>
        <w:autoSpaceDN w:val="0"/>
        <w:adjustRightInd w:val="0"/>
        <w:spacing w:after="0" w:line="240" w:lineRule="auto"/>
        <w:contextualSpacing/>
        <w:jc w:val="both"/>
        <w:rPr>
          <w:rFonts w:cs="GillSans"/>
        </w:rPr>
      </w:pPr>
      <w:r w:rsidRPr="00C95F78">
        <w:rPr>
          <w:rFonts w:cs="GillSans"/>
        </w:rPr>
        <w:t xml:space="preserve">The technical solutions available to </w:t>
      </w:r>
      <w:r w:rsidR="00C461A7">
        <w:rPr>
          <w:rFonts w:cs="GillSans"/>
        </w:rPr>
        <w:t>decrease</w:t>
      </w:r>
      <w:r w:rsidR="00C461A7" w:rsidRPr="00C95F78">
        <w:rPr>
          <w:rFonts w:cs="GillSans"/>
        </w:rPr>
        <w:t xml:space="preserve"> </w:t>
      </w:r>
      <w:r w:rsidRPr="00C95F78">
        <w:rPr>
          <w:rFonts w:cs="GillSans"/>
        </w:rPr>
        <w:t>these losses include:</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714D75" w:rsidP="00BB1A5E">
      <w:pPr>
        <w:pStyle w:val="ListParagraph"/>
        <w:numPr>
          <w:ilvl w:val="0"/>
          <w:numId w:val="17"/>
        </w:numPr>
        <w:autoSpaceDE w:val="0"/>
        <w:autoSpaceDN w:val="0"/>
        <w:adjustRightInd w:val="0"/>
        <w:spacing w:after="120" w:line="240" w:lineRule="auto"/>
        <w:ind w:left="714" w:hanging="357"/>
        <w:contextualSpacing w:val="0"/>
        <w:jc w:val="both"/>
        <w:rPr>
          <w:rFonts w:cs="GillSans"/>
        </w:rPr>
      </w:pPr>
      <w:r w:rsidRPr="00C95F78">
        <w:rPr>
          <w:rFonts w:cs="GillSans"/>
        </w:rPr>
        <w:t>Reducing the electrical losses in the windings, by increasing the cross sectional area of the conductor or by improving the winding technique</w:t>
      </w:r>
      <w:r w:rsidR="00CD3BAF" w:rsidRPr="00C95F78">
        <w:rPr>
          <w:rFonts w:cs="GillSans"/>
        </w:rPr>
        <w:t>.</w:t>
      </w:r>
    </w:p>
    <w:p w:rsidR="005A48E2" w:rsidRPr="00C95F78" w:rsidRDefault="00714D75" w:rsidP="00BB1A5E">
      <w:pPr>
        <w:pStyle w:val="ListParagraph"/>
        <w:numPr>
          <w:ilvl w:val="0"/>
          <w:numId w:val="17"/>
        </w:numPr>
        <w:autoSpaceDE w:val="0"/>
        <w:autoSpaceDN w:val="0"/>
        <w:adjustRightInd w:val="0"/>
        <w:spacing w:after="120" w:line="240" w:lineRule="auto"/>
        <w:ind w:left="714" w:hanging="357"/>
        <w:contextualSpacing w:val="0"/>
        <w:jc w:val="both"/>
        <w:rPr>
          <w:rFonts w:cs="GillSans"/>
        </w:rPr>
      </w:pPr>
      <w:r w:rsidRPr="00C95F78">
        <w:rPr>
          <w:rFonts w:cs="GillSans"/>
        </w:rPr>
        <w:t>Reducing the magnetic losses by using better magnetic steel</w:t>
      </w:r>
      <w:r w:rsidR="00CD3BAF" w:rsidRPr="00C95F78">
        <w:rPr>
          <w:rFonts w:cs="GillSans"/>
        </w:rPr>
        <w:t>.</w:t>
      </w:r>
    </w:p>
    <w:p w:rsidR="005A48E2" w:rsidRPr="00C95F78" w:rsidRDefault="00714D75" w:rsidP="00BB1A5E">
      <w:pPr>
        <w:pStyle w:val="ListParagraph"/>
        <w:numPr>
          <w:ilvl w:val="0"/>
          <w:numId w:val="17"/>
        </w:numPr>
        <w:autoSpaceDE w:val="0"/>
        <w:autoSpaceDN w:val="0"/>
        <w:adjustRightInd w:val="0"/>
        <w:spacing w:after="120" w:line="240" w:lineRule="auto"/>
        <w:ind w:left="714" w:hanging="357"/>
        <w:contextualSpacing w:val="0"/>
        <w:jc w:val="both"/>
        <w:rPr>
          <w:rFonts w:cs="GillSans"/>
        </w:rPr>
      </w:pPr>
      <w:r w:rsidRPr="00C95F78">
        <w:rPr>
          <w:rFonts w:cs="GillSans"/>
        </w:rPr>
        <w:t>Improving the aerodynamics of the motor to reduce mechanical losses</w:t>
      </w:r>
      <w:r w:rsidR="00CD3BAF" w:rsidRPr="00C95F78">
        <w:rPr>
          <w:rFonts w:cs="GillSans"/>
        </w:rPr>
        <w:t>.</w:t>
      </w:r>
    </w:p>
    <w:p w:rsidR="005A48E2" w:rsidRPr="00C95F78" w:rsidRDefault="00714D75" w:rsidP="00BB1A5E">
      <w:pPr>
        <w:pStyle w:val="ListParagraph"/>
        <w:numPr>
          <w:ilvl w:val="0"/>
          <w:numId w:val="17"/>
        </w:numPr>
        <w:autoSpaceDE w:val="0"/>
        <w:autoSpaceDN w:val="0"/>
        <w:adjustRightInd w:val="0"/>
        <w:spacing w:after="120" w:line="240" w:lineRule="auto"/>
        <w:ind w:left="714" w:hanging="357"/>
        <w:contextualSpacing w:val="0"/>
        <w:jc w:val="both"/>
        <w:rPr>
          <w:rFonts w:cs="GillSans"/>
        </w:rPr>
      </w:pPr>
      <w:r w:rsidRPr="00C95F78">
        <w:rPr>
          <w:rFonts w:cs="GillSans"/>
        </w:rPr>
        <w:t>Minimizing manufacturing tolerances</w:t>
      </w:r>
      <w:r w:rsidR="00CD3BAF" w:rsidRPr="00C95F78">
        <w:rPr>
          <w:rFonts w:cs="GillSans"/>
        </w:rPr>
        <w:t>.</w:t>
      </w:r>
    </w:p>
    <w:p w:rsidR="005A48E2" w:rsidRPr="00C95F78" w:rsidRDefault="00714D75" w:rsidP="00BB1A5E">
      <w:pPr>
        <w:pStyle w:val="ListParagraph"/>
        <w:numPr>
          <w:ilvl w:val="0"/>
          <w:numId w:val="17"/>
        </w:numPr>
        <w:autoSpaceDE w:val="0"/>
        <w:autoSpaceDN w:val="0"/>
        <w:adjustRightInd w:val="0"/>
        <w:spacing w:after="120" w:line="240" w:lineRule="auto"/>
        <w:ind w:left="714" w:hanging="357"/>
        <w:contextualSpacing w:val="0"/>
        <w:jc w:val="both"/>
        <w:rPr>
          <w:rFonts w:cs="GillSans"/>
        </w:rPr>
      </w:pPr>
      <w:r w:rsidRPr="00C95F78">
        <w:rPr>
          <w:rFonts w:cs="GillSans"/>
        </w:rPr>
        <w:t>Using an electrically commutated system to eliminate brush contact losses</w:t>
      </w:r>
      <w:r w:rsidR="00CD3BAF" w:rsidRPr="00C95F78">
        <w:rPr>
          <w:rFonts w:cs="GillSans"/>
        </w:rPr>
        <w:t>.</w:t>
      </w:r>
    </w:p>
    <w:p w:rsidR="005A48E2" w:rsidRPr="00C95F78" w:rsidRDefault="00714D75" w:rsidP="00BB1A5E">
      <w:pPr>
        <w:pStyle w:val="ListParagraph"/>
        <w:numPr>
          <w:ilvl w:val="0"/>
          <w:numId w:val="17"/>
        </w:numPr>
        <w:autoSpaceDE w:val="0"/>
        <w:autoSpaceDN w:val="0"/>
        <w:adjustRightInd w:val="0"/>
        <w:spacing w:after="0" w:line="240" w:lineRule="auto"/>
        <w:jc w:val="both"/>
        <w:rPr>
          <w:rFonts w:cs="GillSans"/>
        </w:rPr>
      </w:pPr>
      <w:r w:rsidRPr="00C95F78">
        <w:rPr>
          <w:rFonts w:cs="GillSans"/>
        </w:rPr>
        <w:t>Using a Variable Speed Drive (VSD) if the motor operates regularly at other than its nominal speed/ torque</w:t>
      </w:r>
      <w:r w:rsidR="00CD3BAF" w:rsidRPr="00C95F78">
        <w:rPr>
          <w:rFonts w:cs="GillSans"/>
        </w:rPr>
        <w:t>.</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831937" w:rsidP="00BB1A5E">
      <w:pPr>
        <w:autoSpaceDE w:val="0"/>
        <w:autoSpaceDN w:val="0"/>
        <w:adjustRightInd w:val="0"/>
        <w:spacing w:after="0" w:line="240" w:lineRule="auto"/>
        <w:contextualSpacing/>
        <w:jc w:val="both"/>
        <w:rPr>
          <w:rFonts w:cs="GillSans"/>
        </w:rPr>
      </w:pPr>
      <w:r w:rsidRPr="00C95F78">
        <w:rPr>
          <w:rFonts w:cs="GillSans"/>
        </w:rPr>
        <w:t>The above list makes it clear that there are several options for improving efficiency that do not require larger amounts of copper. Improving manufacturing tolerances and simply reducing aerodynamic losses through improved design can reduce losses without any necessary alteration to material content. Rather than focussing on copper, a manufacturer may choose instead to focus on the quality and content of magnetic steel. In comparison with copper, magnetic steel is very cheap.</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CE2BC8" w:rsidP="00BB1A5E">
      <w:pPr>
        <w:autoSpaceDE w:val="0"/>
        <w:autoSpaceDN w:val="0"/>
        <w:adjustRightInd w:val="0"/>
        <w:spacing w:after="0" w:line="240" w:lineRule="auto"/>
        <w:contextualSpacing/>
        <w:jc w:val="both"/>
        <w:rPr>
          <w:rFonts w:cs="GillSans"/>
        </w:rPr>
      </w:pPr>
      <w:r w:rsidRPr="00C95F78">
        <w:rPr>
          <w:rFonts w:cs="GillSans"/>
        </w:rPr>
        <w:t>Amongst the high copper options, we identify the following:</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CE2BC8" w:rsidP="00BB1A5E">
      <w:pPr>
        <w:pStyle w:val="ListParagraph"/>
        <w:numPr>
          <w:ilvl w:val="0"/>
          <w:numId w:val="18"/>
        </w:numPr>
        <w:autoSpaceDE w:val="0"/>
        <w:autoSpaceDN w:val="0"/>
        <w:adjustRightInd w:val="0"/>
        <w:spacing w:after="120" w:line="240" w:lineRule="auto"/>
        <w:ind w:left="714" w:hanging="357"/>
        <w:contextualSpacing w:val="0"/>
        <w:jc w:val="both"/>
      </w:pPr>
      <w:r w:rsidRPr="00C95F78">
        <w:rPr>
          <w:rFonts w:cs="GillSans"/>
        </w:rPr>
        <w:t xml:space="preserve">Use </w:t>
      </w:r>
      <w:r w:rsidR="00B12CC7" w:rsidRPr="00C95F78">
        <w:t xml:space="preserve">die-cast </w:t>
      </w:r>
      <w:r w:rsidR="00CD3BAF" w:rsidRPr="00C95F78">
        <w:t xml:space="preserve">copper </w:t>
      </w:r>
      <w:r w:rsidR="00B12CC7" w:rsidRPr="00C95F78">
        <w:t>conductor bars and end rings for induction motors.</w:t>
      </w:r>
    </w:p>
    <w:p w:rsidR="005A48E2" w:rsidRPr="00C95F78" w:rsidRDefault="00B12CC7" w:rsidP="00BB1A5E">
      <w:pPr>
        <w:pStyle w:val="ListParagraph"/>
        <w:numPr>
          <w:ilvl w:val="0"/>
          <w:numId w:val="18"/>
        </w:numPr>
        <w:autoSpaceDE w:val="0"/>
        <w:autoSpaceDN w:val="0"/>
        <w:adjustRightInd w:val="0"/>
        <w:spacing w:after="120" w:line="240" w:lineRule="auto"/>
        <w:ind w:left="714" w:hanging="357"/>
        <w:contextualSpacing w:val="0"/>
        <w:jc w:val="both"/>
        <w:rPr>
          <w:rFonts w:cs="GillSans"/>
        </w:rPr>
      </w:pPr>
      <w:r w:rsidRPr="00C95F78">
        <w:t>Die cast copper motor rotors (CMR).</w:t>
      </w:r>
    </w:p>
    <w:p w:rsidR="005A48E2" w:rsidRPr="00C95F78" w:rsidRDefault="00B12CC7" w:rsidP="00BB1A5E">
      <w:pPr>
        <w:pStyle w:val="ListParagraph"/>
        <w:numPr>
          <w:ilvl w:val="0"/>
          <w:numId w:val="18"/>
        </w:numPr>
        <w:autoSpaceDE w:val="0"/>
        <w:autoSpaceDN w:val="0"/>
        <w:adjustRightInd w:val="0"/>
        <w:spacing w:after="120" w:line="240" w:lineRule="auto"/>
        <w:ind w:left="714" w:hanging="357"/>
        <w:contextualSpacing w:val="0"/>
        <w:jc w:val="both"/>
        <w:rPr>
          <w:rFonts w:cs="GillSans"/>
        </w:rPr>
      </w:pPr>
      <w:r w:rsidRPr="00C95F78">
        <w:t>Use copper rotors in permanent magnet and water cooled high frequency induction motors with applications with high torque to weight ratio.</w:t>
      </w:r>
    </w:p>
    <w:p w:rsidR="005A48E2" w:rsidRPr="00C95F78" w:rsidRDefault="00B12CC7" w:rsidP="00BB1A5E">
      <w:pPr>
        <w:pStyle w:val="ListParagraph"/>
        <w:numPr>
          <w:ilvl w:val="0"/>
          <w:numId w:val="18"/>
        </w:numPr>
        <w:autoSpaceDE w:val="0"/>
        <w:autoSpaceDN w:val="0"/>
        <w:adjustRightInd w:val="0"/>
        <w:spacing w:after="0" w:line="240" w:lineRule="auto"/>
        <w:jc w:val="both"/>
        <w:rPr>
          <w:rFonts w:cs="GillSans"/>
        </w:rPr>
      </w:pPr>
      <w:r w:rsidRPr="00C95F78">
        <w:t>Increased packing weight in stator windings (to plus 80% in comparison with standard 50-60%).</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2D75DC" w:rsidP="00BB1A5E">
      <w:pPr>
        <w:autoSpaceDE w:val="0"/>
        <w:autoSpaceDN w:val="0"/>
        <w:adjustRightInd w:val="0"/>
        <w:spacing w:after="0" w:line="240" w:lineRule="auto"/>
        <w:contextualSpacing/>
        <w:jc w:val="both"/>
        <w:rPr>
          <w:rFonts w:cs="GillSans"/>
        </w:rPr>
      </w:pPr>
      <w:r w:rsidRPr="00C95F78">
        <w:rPr>
          <w:rFonts w:cs="GillSans"/>
        </w:rPr>
        <w:t xml:space="preserve">Early developments in motor efficiency focussed on reducing electrical losses by increasing the packing weight of stator windings. This is logical, as electrical losses typically account of more than half of all energy loss, and stator losses around two-thirds of electrical loss. A high efficiency motor will </w:t>
      </w:r>
      <w:r w:rsidR="00C461A7">
        <w:rPr>
          <w:rFonts w:cs="GillSans"/>
        </w:rPr>
        <w:t>usually</w:t>
      </w:r>
      <w:r w:rsidR="00C461A7" w:rsidRPr="00C95F78">
        <w:rPr>
          <w:rFonts w:cs="GillSans"/>
        </w:rPr>
        <w:t xml:space="preserve"> </w:t>
      </w:r>
      <w:r w:rsidRPr="00C95F78">
        <w:rPr>
          <w:rFonts w:cs="GillSans"/>
        </w:rPr>
        <w:t>have 20% more copper in the stator winding than its standard counterpart.</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2D75DC" w:rsidP="00BB1A5E">
      <w:pPr>
        <w:autoSpaceDE w:val="0"/>
        <w:autoSpaceDN w:val="0"/>
        <w:adjustRightInd w:val="0"/>
        <w:spacing w:after="0" w:line="240" w:lineRule="auto"/>
        <w:contextualSpacing/>
        <w:jc w:val="both"/>
        <w:rPr>
          <w:rFonts w:cs="GillSans"/>
        </w:rPr>
      </w:pPr>
      <w:r w:rsidRPr="00C95F78">
        <w:rPr>
          <w:rFonts w:cs="GillSans"/>
        </w:rPr>
        <w:t xml:space="preserve">The disadvantage of increasing efficiency through higher packing density is an increase in </w:t>
      </w:r>
      <w:r w:rsidR="00AE5E09" w:rsidRPr="00C95F78">
        <w:rPr>
          <w:rFonts w:cs="GillSans"/>
        </w:rPr>
        <w:t xml:space="preserve">motor size, and expense (especially at today’s copper price). The size issue is an important one in many motor applications, especially consumer appliances, but also applying to the automotive market. </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AE5E09" w:rsidP="00BB1A5E">
      <w:pPr>
        <w:autoSpaceDE w:val="0"/>
        <w:autoSpaceDN w:val="0"/>
        <w:adjustRightInd w:val="0"/>
        <w:spacing w:after="0" w:line="240" w:lineRule="auto"/>
        <w:contextualSpacing/>
        <w:jc w:val="both"/>
        <w:rPr>
          <w:rFonts w:cs="GillSans"/>
        </w:rPr>
      </w:pPr>
      <w:r w:rsidRPr="00C95F78">
        <w:rPr>
          <w:rFonts w:cs="GillSans"/>
        </w:rPr>
        <w:t xml:space="preserve">A developing product, the </w:t>
      </w:r>
      <w:r w:rsidRPr="00C95F78">
        <w:rPr>
          <w:rFonts w:cs="GillSans"/>
          <w:b/>
        </w:rPr>
        <w:t>shaped copper conductor motor</w:t>
      </w:r>
      <w:r w:rsidRPr="00C95F78">
        <w:rPr>
          <w:rFonts w:cs="GillSans"/>
        </w:rPr>
        <w:t xml:space="preserve">, currently in development, promises to overcome this difficulty. Rather than round wire, square or hexagonal wire allows the air spaces in the stator to be reduced, thus allowing a motor of a given rating to be smaller. While attractive, however, technical difficulties in both ensuring good adhesion of enamel to the wire and in winding itself mean that commercial development of the shaped copper </w:t>
      </w:r>
      <w:r w:rsidR="008D33AE" w:rsidRPr="00C95F78">
        <w:rPr>
          <w:rFonts w:cs="GillSans"/>
        </w:rPr>
        <w:t>conductor motor is some way off.</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8D33AE" w:rsidP="00BB1A5E">
      <w:pPr>
        <w:autoSpaceDE w:val="0"/>
        <w:autoSpaceDN w:val="0"/>
        <w:adjustRightInd w:val="0"/>
        <w:spacing w:after="0" w:line="240" w:lineRule="auto"/>
        <w:contextualSpacing/>
        <w:jc w:val="both"/>
        <w:rPr>
          <w:rFonts w:cs="GillSans"/>
        </w:rPr>
      </w:pPr>
      <w:r w:rsidRPr="00C95F78">
        <w:rPr>
          <w:rFonts w:cs="GillSans"/>
        </w:rPr>
        <w:t xml:space="preserve">It may be the case that shaped copper conductor motors will be an expensive option. As tight wire packing is alternatively achieved by drawing wire much finer, however, it could prove to be a relatively cheap option. In </w:t>
      </w:r>
      <w:r w:rsidR="003C7AEB">
        <w:fldChar w:fldCharType="begin"/>
      </w:r>
      <w:r w:rsidR="003C7AEB">
        <w:instrText xml:space="preserve"> REF _Ref263154600 \h  \* MERGEFORMAT </w:instrText>
      </w:r>
      <w:r w:rsidR="003C7AEB">
        <w:fldChar w:fldCharType="separate"/>
      </w:r>
      <w:r w:rsidR="0005759A" w:rsidRPr="0005759A">
        <w:t xml:space="preserve">Figure </w:t>
      </w:r>
      <w:r w:rsidR="0005759A" w:rsidRPr="0005759A">
        <w:rPr>
          <w:noProof/>
        </w:rPr>
        <w:t>120</w:t>
      </w:r>
      <w:r w:rsidR="003C7AEB">
        <w:fldChar w:fldCharType="end"/>
      </w:r>
      <w:r w:rsidRPr="00C95F78">
        <w:rPr>
          <w:rFonts w:cs="GillSans"/>
        </w:rPr>
        <w:t xml:space="preserve"> we present forecasts for shaped copper conductor motors based on the assumption that this technology is commercialised around 2015 and that it finds an important market niche in small to medium sized motors in applications where there is a space constraint.</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8D33AE" w:rsidP="00BB1A5E">
      <w:pPr>
        <w:autoSpaceDE w:val="0"/>
        <w:autoSpaceDN w:val="0"/>
        <w:adjustRightInd w:val="0"/>
        <w:spacing w:after="0" w:line="240" w:lineRule="auto"/>
        <w:contextualSpacing/>
        <w:jc w:val="both"/>
        <w:rPr>
          <w:rFonts w:cs="GillSans"/>
        </w:rPr>
      </w:pPr>
      <w:r w:rsidRPr="00C95F78">
        <w:rPr>
          <w:rFonts w:cs="GillSans"/>
        </w:rPr>
        <w:t>Rather than focussing on the stator, improving the material or configuration of the rotor can offer substantial efficiency gains. Rotor losses (also called slip losses) are another form of electrical loss. They are caused mainly by the difference in rpm between the rotational speed of the magnetic field and the actual rpm of the rotor and shaft at a given load.</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CD1B95" w:rsidP="00BB1A5E">
      <w:pPr>
        <w:autoSpaceDE w:val="0"/>
        <w:autoSpaceDN w:val="0"/>
        <w:adjustRightInd w:val="0"/>
        <w:spacing w:after="0" w:line="240" w:lineRule="auto"/>
        <w:contextualSpacing/>
        <w:jc w:val="both"/>
        <w:rPr>
          <w:rFonts w:cs="GillSans"/>
        </w:rPr>
      </w:pPr>
      <w:r w:rsidRPr="00C95F78">
        <w:rPr>
          <w:rFonts w:cs="GillSans"/>
        </w:rPr>
        <w:t xml:space="preserve">Rotors are typically made of die-cast aluminium. Electrical efficiency of the motor can be improved by replacing aluminium with copper. The problem with doing this is that, because of the high temperature required, copper is difficult to die-cast. This problem has been overcome, and there are now </w:t>
      </w:r>
      <w:r w:rsidR="00F01D0F" w:rsidRPr="00847CDB">
        <w:rPr>
          <w:rFonts w:cs="GillSans"/>
        </w:rPr>
        <w:t>significant</w:t>
      </w:r>
      <w:r w:rsidRPr="00C95F78">
        <w:rPr>
          <w:rFonts w:cs="GillSans"/>
        </w:rPr>
        <w:t xml:space="preserve"> numbers of </w:t>
      </w:r>
      <w:r w:rsidRPr="00C95F78">
        <w:rPr>
          <w:rFonts w:cs="GillSans"/>
          <w:b/>
        </w:rPr>
        <w:t>copper motor rotor</w:t>
      </w:r>
      <w:r w:rsidRPr="00C95F78">
        <w:rPr>
          <w:rFonts w:cs="GillSans"/>
        </w:rPr>
        <w:t xml:space="preserve"> (CMR) motors in production.</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CD1B95" w:rsidP="00BB1A5E">
      <w:pPr>
        <w:autoSpaceDE w:val="0"/>
        <w:autoSpaceDN w:val="0"/>
        <w:adjustRightInd w:val="0"/>
        <w:spacing w:after="0" w:line="240" w:lineRule="auto"/>
        <w:contextualSpacing/>
        <w:jc w:val="both"/>
        <w:rPr>
          <w:rFonts w:cs="GillSans"/>
        </w:rPr>
      </w:pPr>
      <w:r w:rsidRPr="00C95F78">
        <w:rPr>
          <w:rFonts w:cs="GillSans"/>
        </w:rPr>
        <w:t>The advantages claimed for CMR motor on a like-for-like basis are as follows:</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64083B" w:rsidP="00BB1A5E">
      <w:pPr>
        <w:pStyle w:val="ListParagraph"/>
        <w:numPr>
          <w:ilvl w:val="0"/>
          <w:numId w:val="2"/>
        </w:numPr>
        <w:autoSpaceDE w:val="0"/>
        <w:autoSpaceDN w:val="0"/>
        <w:adjustRightInd w:val="0"/>
        <w:spacing w:after="120" w:line="240" w:lineRule="auto"/>
        <w:ind w:left="714" w:hanging="357"/>
        <w:contextualSpacing w:val="0"/>
        <w:jc w:val="both"/>
        <w:rPr>
          <w:rFonts w:cs="GillSans"/>
        </w:rPr>
      </w:pPr>
      <w:r w:rsidRPr="00C95F78">
        <w:rPr>
          <w:rFonts w:cs="GillSans"/>
        </w:rPr>
        <w:t xml:space="preserve">Improvement in motor energy efficiency </w:t>
      </w:r>
      <w:r w:rsidR="00CD1B95" w:rsidRPr="00C95F78">
        <w:rPr>
          <w:rFonts w:cs="GillSans"/>
        </w:rPr>
        <w:t>rating of</w:t>
      </w:r>
      <w:r w:rsidRPr="00C95F78">
        <w:rPr>
          <w:rFonts w:cs="GillSans"/>
        </w:rPr>
        <w:t xml:space="preserve"> 1-5%.</w:t>
      </w:r>
    </w:p>
    <w:p w:rsidR="005A48E2" w:rsidRPr="00C95F78" w:rsidRDefault="0064083B" w:rsidP="00BB1A5E">
      <w:pPr>
        <w:pStyle w:val="ListParagraph"/>
        <w:numPr>
          <w:ilvl w:val="0"/>
          <w:numId w:val="2"/>
        </w:numPr>
        <w:autoSpaceDE w:val="0"/>
        <w:autoSpaceDN w:val="0"/>
        <w:adjustRightInd w:val="0"/>
        <w:spacing w:after="120" w:line="240" w:lineRule="auto"/>
        <w:ind w:left="714" w:hanging="357"/>
        <w:contextualSpacing w:val="0"/>
        <w:jc w:val="both"/>
        <w:rPr>
          <w:rFonts w:cs="GillSans"/>
        </w:rPr>
      </w:pPr>
      <w:r w:rsidRPr="00C95F78">
        <w:rPr>
          <w:rFonts w:cs="GillSans"/>
        </w:rPr>
        <w:t>Reduction in motor weight</w:t>
      </w:r>
      <w:r w:rsidR="00CD1B95" w:rsidRPr="00C95F78">
        <w:rPr>
          <w:rFonts w:cs="GillSans"/>
        </w:rPr>
        <w:t>.</w:t>
      </w:r>
    </w:p>
    <w:p w:rsidR="005A48E2" w:rsidRPr="00C95F78" w:rsidRDefault="0064083B" w:rsidP="00BB1A5E">
      <w:pPr>
        <w:pStyle w:val="ListParagraph"/>
        <w:numPr>
          <w:ilvl w:val="0"/>
          <w:numId w:val="2"/>
        </w:numPr>
        <w:autoSpaceDE w:val="0"/>
        <w:autoSpaceDN w:val="0"/>
        <w:adjustRightInd w:val="0"/>
        <w:spacing w:after="0" w:line="240" w:lineRule="auto"/>
        <w:jc w:val="both"/>
        <w:rPr>
          <w:rFonts w:cs="GillSans"/>
        </w:rPr>
      </w:pPr>
      <w:r w:rsidRPr="00C95F78">
        <w:rPr>
          <w:rFonts w:cs="GillSans"/>
        </w:rPr>
        <w:t xml:space="preserve">Reduction in overall manufacturing cost. </w:t>
      </w:r>
    </w:p>
    <w:p w:rsidR="005A48E2" w:rsidRPr="00C95F78" w:rsidRDefault="005A48E2" w:rsidP="00BB1A5E">
      <w:pPr>
        <w:pStyle w:val="ListParagraph"/>
        <w:autoSpaceDE w:val="0"/>
        <w:autoSpaceDN w:val="0"/>
        <w:adjustRightInd w:val="0"/>
        <w:spacing w:after="0" w:line="240" w:lineRule="auto"/>
        <w:jc w:val="both"/>
        <w:rPr>
          <w:rFonts w:cs="GillSans"/>
        </w:rPr>
      </w:pPr>
    </w:p>
    <w:p w:rsidR="005A48E2" w:rsidRPr="00C95F78" w:rsidRDefault="0011607E" w:rsidP="00CD78AF">
      <w:pPr>
        <w:pStyle w:val="Caption"/>
        <w:contextualSpacing/>
        <w:jc w:val="center"/>
        <w:rPr>
          <w:sz w:val="28"/>
          <w:szCs w:val="28"/>
        </w:rPr>
      </w:pPr>
      <w:bookmarkStart w:id="234" w:name="_Ref263154600"/>
      <w:bookmarkStart w:id="235" w:name="_Toc263671774"/>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120</w:t>
      </w:r>
      <w:r w:rsidR="00D50FDC" w:rsidRPr="00C95F78">
        <w:rPr>
          <w:sz w:val="28"/>
          <w:szCs w:val="28"/>
        </w:rPr>
        <w:fldChar w:fldCharType="end"/>
      </w:r>
      <w:bookmarkEnd w:id="234"/>
      <w:r w:rsidRPr="00C95F78">
        <w:rPr>
          <w:sz w:val="28"/>
          <w:szCs w:val="28"/>
        </w:rPr>
        <w:t>: Forecast CMR and Shaped Copper Conductor Motor Markets for Copper (Kt Cu)</w:t>
      </w:r>
      <w:bookmarkEnd w:id="235"/>
    </w:p>
    <w:p w:rsidR="005A48E2" w:rsidRPr="00C95F78" w:rsidRDefault="00AA4D48" w:rsidP="00CD78AF">
      <w:pPr>
        <w:autoSpaceDE w:val="0"/>
        <w:autoSpaceDN w:val="0"/>
        <w:adjustRightInd w:val="0"/>
        <w:spacing w:after="0" w:line="240" w:lineRule="auto"/>
        <w:contextualSpacing/>
        <w:jc w:val="center"/>
        <w:rPr>
          <w:rFonts w:cs="GillSans"/>
        </w:rPr>
      </w:pPr>
      <w:r w:rsidRPr="00AA4D48">
        <w:rPr>
          <w:noProof/>
          <w:lang w:val="en-US"/>
        </w:rPr>
        <w:drawing>
          <wp:inline distT="0" distB="0" distL="0" distR="0">
            <wp:extent cx="5831840" cy="4262021"/>
            <wp:effectExtent l="1905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5831840" cy="4262021"/>
                    </a:xfrm>
                    <a:prstGeom prst="rect">
                      <a:avLst/>
                    </a:prstGeom>
                    <a:noFill/>
                    <a:ln w="9525">
                      <a:noFill/>
                      <a:miter lim="800000"/>
                      <a:headEnd/>
                      <a:tailEnd/>
                    </a:ln>
                  </pic:spPr>
                </pic:pic>
              </a:graphicData>
            </a:graphic>
          </wp:inline>
        </w:drawing>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2B6366" w:rsidP="00BB1A5E">
      <w:pPr>
        <w:autoSpaceDE w:val="0"/>
        <w:autoSpaceDN w:val="0"/>
        <w:adjustRightInd w:val="0"/>
        <w:spacing w:after="0" w:line="240" w:lineRule="auto"/>
        <w:contextualSpacing/>
        <w:jc w:val="both"/>
        <w:rPr>
          <w:rFonts w:cs="GillSans"/>
        </w:rPr>
      </w:pPr>
      <w:r w:rsidRPr="00C95F78">
        <w:rPr>
          <w:rFonts w:cs="GillSans"/>
        </w:rPr>
        <w:t>Some of these advantages may be disputed, however, especially manufacturing cost. As it stands, few manufacturers have been prepared to take on the heavy capital cost of creating CMR capacity, without assured sales. If they do invest</w:t>
      </w:r>
      <w:r w:rsidR="00640C7E">
        <w:rPr>
          <w:rFonts w:cs="GillSans"/>
        </w:rPr>
        <w:t xml:space="preserve"> </w:t>
      </w:r>
      <w:r w:rsidRPr="00C95F78">
        <w:rPr>
          <w:rFonts w:cs="GillSans"/>
        </w:rPr>
        <w:t>and the capital cost is offset with volume sales of CMR motors then it may be that unit motor cost is quite low. This is far from assured</w:t>
      </w:r>
      <w:r w:rsidR="00847CDB">
        <w:rPr>
          <w:rFonts w:cs="GillSans"/>
        </w:rPr>
        <w:t>.</w:t>
      </w:r>
    </w:p>
    <w:p w:rsidR="005A48E2" w:rsidRPr="00C95F78" w:rsidRDefault="005A48E2" w:rsidP="00BB1A5E">
      <w:pPr>
        <w:autoSpaceDE w:val="0"/>
        <w:autoSpaceDN w:val="0"/>
        <w:adjustRightInd w:val="0"/>
        <w:spacing w:after="0" w:line="240" w:lineRule="auto"/>
        <w:contextualSpacing/>
        <w:jc w:val="both"/>
        <w:rPr>
          <w:rFonts w:cs="GillSans"/>
          <w:b/>
        </w:rPr>
      </w:pPr>
    </w:p>
    <w:p w:rsidR="00847CDB" w:rsidRDefault="00847CDB" w:rsidP="00BB1A5E">
      <w:pPr>
        <w:autoSpaceDE w:val="0"/>
        <w:autoSpaceDN w:val="0"/>
        <w:adjustRightInd w:val="0"/>
        <w:spacing w:after="0" w:line="240" w:lineRule="auto"/>
        <w:contextualSpacing/>
        <w:jc w:val="both"/>
        <w:rPr>
          <w:rFonts w:cs="GillSans"/>
        </w:rPr>
      </w:pPr>
      <w:r>
        <w:rPr>
          <w:rFonts w:cs="GillSans"/>
        </w:rPr>
        <w:t>The penetration of CMR motors is mainly in low voltage industrial motors of 1 to 100 kW. The current sales are thought to be around 175,000 units per year of a 30 million motor market. There is a potential market for CMR motors are in other applications, especially small fractional horsepower applications, which has not yet come to fruition.</w:t>
      </w:r>
    </w:p>
    <w:p w:rsidR="00847CDB" w:rsidRDefault="00847CDB" w:rsidP="00BB1A5E">
      <w:pPr>
        <w:autoSpaceDE w:val="0"/>
        <w:autoSpaceDN w:val="0"/>
        <w:adjustRightInd w:val="0"/>
        <w:spacing w:after="0" w:line="240" w:lineRule="auto"/>
        <w:contextualSpacing/>
        <w:jc w:val="both"/>
        <w:rPr>
          <w:rFonts w:cs="GillSans"/>
        </w:rPr>
      </w:pPr>
    </w:p>
    <w:p w:rsidR="00847CDB" w:rsidRDefault="00847CDB" w:rsidP="00BB1A5E">
      <w:pPr>
        <w:spacing w:after="0" w:line="240" w:lineRule="auto"/>
        <w:contextualSpacing/>
        <w:jc w:val="both"/>
        <w:rPr>
          <w:rFonts w:ascii="Calibri" w:hAnsi="Calibri"/>
        </w:rPr>
      </w:pPr>
      <w:r>
        <w:rPr>
          <w:rFonts w:ascii="Calibri" w:hAnsi="Calibri"/>
        </w:rPr>
        <w:t>There is some debate over whether or not CMR is also a suitable option for hybrid and electric vehicles. Production hybrids to date have tended to favour permanent magnet motors, a low copper option without copper stator windings. More conventional copper motors, some with copper rotors, have been more prominent in early pure electric vehicles. This is certainly a market patch to be fought over. As well as efficiency, however, the CMR motor will have to compete on grounds of cost, weight and size, and is not expected to fare particularly well.</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Default="00C91201" w:rsidP="00BB1A5E">
      <w:pPr>
        <w:spacing w:after="0" w:line="240" w:lineRule="auto"/>
        <w:contextualSpacing/>
        <w:jc w:val="both"/>
      </w:pPr>
      <w:r w:rsidRPr="00C95F78">
        <w:t xml:space="preserve">Taking account of its advantages and also the ambivalent attitude of much of the market to CMR, our forecast for this motor type is presented </w:t>
      </w:r>
      <w:r w:rsidR="00D60E8F">
        <w:t xml:space="preserve">in </w:t>
      </w:r>
      <w:r w:rsidR="003C7AEB">
        <w:fldChar w:fldCharType="begin"/>
      </w:r>
      <w:r w:rsidR="003C7AEB">
        <w:instrText xml:space="preserve"> REF _Ref263154600 \h  \* MERGEFORMAT </w:instrText>
      </w:r>
      <w:r w:rsidR="003C7AEB">
        <w:fldChar w:fldCharType="separate"/>
      </w:r>
      <w:r w:rsidR="0005759A" w:rsidRPr="0005759A">
        <w:t xml:space="preserve">Figure </w:t>
      </w:r>
      <w:r w:rsidR="0005759A" w:rsidRPr="0005759A">
        <w:rPr>
          <w:noProof/>
        </w:rPr>
        <w:t>120</w:t>
      </w:r>
      <w:r w:rsidR="003C7AEB">
        <w:fldChar w:fldCharType="end"/>
      </w:r>
      <w:r w:rsidR="00D60E8F">
        <w:t>.</w:t>
      </w:r>
    </w:p>
    <w:p w:rsidR="00D60E8F" w:rsidRPr="00C95F78" w:rsidRDefault="00D60E8F" w:rsidP="00BB1A5E">
      <w:pPr>
        <w:spacing w:after="0" w:line="240" w:lineRule="auto"/>
        <w:contextualSpacing/>
        <w:jc w:val="both"/>
      </w:pPr>
    </w:p>
    <w:p w:rsidR="005A48E2" w:rsidRPr="00C95F78" w:rsidRDefault="006E32C3" w:rsidP="00BB1A5E">
      <w:pPr>
        <w:spacing w:after="0" w:line="240" w:lineRule="auto"/>
        <w:contextualSpacing/>
        <w:jc w:val="both"/>
      </w:pPr>
      <w:r w:rsidRPr="00C95F78">
        <w:t xml:space="preserve">While there are some big positives in the motors business, it would be unbalanced to avoid mentioning </w:t>
      </w:r>
      <w:r w:rsidR="001B61F4" w:rsidRPr="00C95F78">
        <w:t xml:space="preserve">a potentially important </w:t>
      </w:r>
      <w:r w:rsidRPr="00C95F78">
        <w:t xml:space="preserve">negative development. </w:t>
      </w:r>
      <w:r w:rsidR="001B61F4" w:rsidRPr="00C95F78">
        <w:t>In coming years, we expect to see a</w:t>
      </w:r>
      <w:r w:rsidRPr="00C95F78">
        <w:t xml:space="preserve"> large scale commercialisation of copper clad aluminium (CCA) winding wire in coming years. </w:t>
      </w:r>
      <w:r w:rsidR="001B61F4" w:rsidRPr="00C95F78">
        <w:t xml:space="preserve">CCA demonstrates similar electrical characteristics to pure copper wire. </w:t>
      </w:r>
    </w:p>
    <w:p w:rsidR="005A48E2" w:rsidRPr="00C95F78" w:rsidRDefault="005A48E2" w:rsidP="00BB1A5E">
      <w:pPr>
        <w:spacing w:after="0" w:line="240" w:lineRule="auto"/>
        <w:contextualSpacing/>
        <w:jc w:val="both"/>
      </w:pPr>
    </w:p>
    <w:p w:rsidR="005A48E2" w:rsidRPr="00C95F78" w:rsidRDefault="006E32C3" w:rsidP="00BB1A5E">
      <w:pPr>
        <w:spacing w:after="0" w:line="240" w:lineRule="auto"/>
        <w:contextualSpacing/>
        <w:jc w:val="both"/>
      </w:pPr>
      <w:r w:rsidRPr="00C95F78">
        <w:t xml:space="preserve">To date, CCA has had a mixed reception, largely because of the production of low quality product in China. With today’s large copper </w:t>
      </w:r>
      <w:r w:rsidR="00CD3BAF" w:rsidRPr="00C95F78">
        <w:t>vs.</w:t>
      </w:r>
      <w:r w:rsidRPr="00C95F78">
        <w:t xml:space="preserve"> aluminium price differential, however, it should be possible to produce CCA motors significantly cheaper than copper ones</w:t>
      </w:r>
      <w:r w:rsidR="001B61F4" w:rsidRPr="00C95F78">
        <w:t>. These will contain, at most, 10% copper in the winding wire. CCA motors are likely to have their greatest application in small and medium sized motors where space constraint is not a pressing problem.</w:t>
      </w:r>
    </w:p>
    <w:p w:rsidR="005A48E2" w:rsidRPr="00C95F78" w:rsidRDefault="005A48E2" w:rsidP="00BB1A5E">
      <w:pPr>
        <w:spacing w:after="0" w:line="240" w:lineRule="auto"/>
        <w:contextualSpacing/>
        <w:jc w:val="both"/>
      </w:pPr>
    </w:p>
    <w:p w:rsidR="005A48E2" w:rsidRPr="00C95F78" w:rsidRDefault="005A48E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4"/>
          <w:szCs w:val="24"/>
        </w:rPr>
      </w:pPr>
      <w:bookmarkStart w:id="236" w:name="_Toc263688622"/>
      <w:r w:rsidRPr="00C95F78">
        <w:rPr>
          <w:rFonts w:asciiTheme="minorHAnsi" w:hAnsiTheme="minorHAnsi"/>
          <w:color w:val="365F91" w:themeColor="accent1" w:themeShade="BF"/>
          <w:sz w:val="24"/>
          <w:szCs w:val="24"/>
        </w:rPr>
        <w:t>Industrial Process Automation</w:t>
      </w:r>
      <w:bookmarkEnd w:id="236"/>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Industrial process automation is about improving the efficiency of factory operations through the use of Information and Communications Technology (ICT). In the report “Smart 2020” the Climate Group estimated the potential CO</w:t>
      </w:r>
      <w:r w:rsidR="00F01D0F" w:rsidRPr="00F01D0F">
        <w:rPr>
          <w:vertAlign w:val="subscript"/>
        </w:rPr>
        <w:t>2</w:t>
      </w:r>
      <w:r w:rsidRPr="00C95F78">
        <w:t xml:space="preserve"> abatement at 0.29 Gt</w:t>
      </w:r>
      <w:r w:rsidRPr="007A1DB7">
        <w:t>CO</w:t>
      </w:r>
      <w:r w:rsidR="00F01D0F" w:rsidRPr="007A1DB7">
        <w:rPr>
          <w:vertAlign w:val="subscript"/>
        </w:rPr>
        <w:t>2</w:t>
      </w:r>
      <w:r w:rsidR="00F01D0F" w:rsidRPr="007A1DB7">
        <w:t>e</w:t>
      </w:r>
      <w:r w:rsidRPr="007A1DB7">
        <w:t>.</w:t>
      </w:r>
      <w:r w:rsidRPr="00C95F78">
        <w:t xml:space="preserve"> This is nearly half as much saving again as that achieved directly with efficient motor driven systems with VSDs (see </w:t>
      </w:r>
      <w:r w:rsidR="003C7AEB">
        <w:fldChar w:fldCharType="begin"/>
      </w:r>
      <w:r w:rsidR="003C7AEB">
        <w:instrText xml:space="preserve"> REF _Ref263150508 \h  \* MERGEFORMAT </w:instrText>
      </w:r>
      <w:r w:rsidR="003C7AEB">
        <w:fldChar w:fldCharType="separate"/>
      </w:r>
      <w:r w:rsidR="0005759A" w:rsidRPr="0005759A">
        <w:t xml:space="preserve">Figure </w:t>
      </w:r>
      <w:r w:rsidR="0005759A" w:rsidRPr="0005759A">
        <w:rPr>
          <w:noProof/>
        </w:rPr>
        <w:t>121</w:t>
      </w:r>
      <w:r w:rsidR="003C7AEB">
        <w:fldChar w:fldCharType="end"/>
      </w:r>
      <w:r w:rsidRPr="00C95F78">
        <w:t>).</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CD78AF">
      <w:pPr>
        <w:pStyle w:val="Caption"/>
        <w:contextualSpacing/>
        <w:jc w:val="center"/>
        <w:rPr>
          <w:sz w:val="28"/>
          <w:szCs w:val="28"/>
        </w:rPr>
      </w:pPr>
      <w:bookmarkStart w:id="237" w:name="_Ref263150508"/>
      <w:bookmarkStart w:id="238" w:name="_Toc263671775"/>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121</w:t>
      </w:r>
      <w:r w:rsidR="00D50FDC" w:rsidRPr="00C95F78">
        <w:rPr>
          <w:sz w:val="28"/>
          <w:szCs w:val="28"/>
        </w:rPr>
        <w:fldChar w:fldCharType="end"/>
      </w:r>
      <w:bookmarkEnd w:id="237"/>
      <w:r w:rsidRPr="00C95F78">
        <w:rPr>
          <w:sz w:val="28"/>
          <w:szCs w:val="28"/>
        </w:rPr>
        <w:t>: The Role of Industrial Process Automation in Abating Greenhouse Gas Emissions</w:t>
      </w:r>
      <w:r w:rsidRPr="00C95F78">
        <w:rPr>
          <w:rStyle w:val="FootnoteReference"/>
          <w:sz w:val="28"/>
          <w:szCs w:val="28"/>
        </w:rPr>
        <w:footnoteReference w:id="39"/>
      </w:r>
      <w:bookmarkEnd w:id="238"/>
    </w:p>
    <w:p w:rsidR="005A48E2" w:rsidRPr="00C95F78" w:rsidRDefault="005A48E2" w:rsidP="00CD78AF">
      <w:pPr>
        <w:spacing w:after="0" w:line="240" w:lineRule="auto"/>
        <w:contextualSpacing/>
        <w:jc w:val="center"/>
      </w:pPr>
      <w:r w:rsidRPr="00C95F78">
        <w:object w:dxaOrig="837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64.4pt" o:ole="">
            <v:imagedata r:id="rId174" o:title=""/>
          </v:shape>
          <o:OLEObject Type="Embed" ProgID="PBrush" ShapeID="_x0000_i1025" DrawAspect="Content" ObjectID="_1548509621" r:id="rId175"/>
        </w:objec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The role of ICT in the first instance is monitoring of energy consumption in the factory, primarily looking at motor driven systems. This will involve digital meters and components for real time information, allowing database collection and energy audits.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The energy consumption data can be utilised with various business efficiency software and simulation models to determine where greater efficiencies can be introduced into the manufacturing process. Information networks that allow inter-machine and system communication can then be used to improve efficiency across an entire factory.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The automation process is largely software based, but there is also hardware with potential for a considerable copper content. This includes data interconnection (wired or wireless) between VSDs and a central control system, and between VSDs linked to each motor system and the rest of the industrial plant.</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Communication outside the immediate factory environment also forms part of the energy and greenhouse gas savings offered by industrial process automation. For example, data from the factory can be exchanged with suppliers and customers to make logistics smarter, and with the electric utility as part of its smart grid management process.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With the growing focus on achieving efficiencies in industry and advances in the ability to do this with improved industrial software, industrial process automation is a fast-expanding market; its growth rate is one or two percentage points above that in GDP.</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Fast growth in a market consuming copper suggests a potential for new markets for copper. However, we do not see new products being consumed here; this is likely to be mainly a growth are for data, signal and control cabling and copper / alloy strip in electronics. As industrial process automation is already an established market, and no new products can be identified, it does not fulfil the criteria required of a new market for this Report. But, it is an area where, because of its growth, such new opportunities may become apparent.</w:t>
      </w:r>
    </w:p>
    <w:p w:rsidR="005A48E2" w:rsidRPr="00C95F78" w:rsidRDefault="005A48E2" w:rsidP="00BB1A5E">
      <w:pPr>
        <w:spacing w:after="0" w:line="240" w:lineRule="auto"/>
        <w:contextualSpacing/>
        <w:jc w:val="both"/>
      </w:pPr>
    </w:p>
    <w:p w:rsidR="005A48E2" w:rsidRPr="006774FB" w:rsidRDefault="005A48E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39" w:name="_Toc263688623"/>
      <w:r w:rsidRPr="006774FB">
        <w:rPr>
          <w:rFonts w:asciiTheme="minorHAnsi" w:hAnsiTheme="minorHAnsi"/>
          <w:color w:val="365F91" w:themeColor="accent1" w:themeShade="BF"/>
          <w:sz w:val="26"/>
          <w:szCs w:val="26"/>
        </w:rPr>
        <w:t>Power Electronics</w:t>
      </w:r>
      <w:bookmarkEnd w:id="239"/>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Alternative Technical and Market Solutions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Power electronics is the application of solid-state electronics for the control and conversion of electric power. This is a rapidly growing area, as electronic control creates the opportunity for increased energy efficiency, and product functionality, compared to electrical or mechanical control.</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The technology comprises of semiconductor devices used mainly as switches or rectifiers, usually in integrated circuits (“ICs”, or “modules”), which in turn are connected to PCBs that fulfil the powered function.</w:t>
      </w:r>
      <w:r w:rsidR="00640C7E">
        <w:t xml:space="preserve"> </w:t>
      </w:r>
      <w:r w:rsidRPr="00C95F78">
        <w:t>Some common power devices are the power diode, thyristor, power MOSFET and IGBT. As part of a module design, there is a normally a heat flux path separate from the electric path, incorporating a heat sink.</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szCs w:val="20"/>
        </w:rPr>
        <w:t>The power module section of the power electronics market has been estimated at US$2.1 billion in 2007, with a two digit annual growth rate</w:t>
      </w:r>
      <w:r w:rsidRPr="00C95F78">
        <w:rPr>
          <w:rStyle w:val="FootnoteReference"/>
          <w:szCs w:val="20"/>
        </w:rPr>
        <w:footnoteReference w:id="40"/>
      </w:r>
      <w:r w:rsidRPr="00C95F78">
        <w:rPr>
          <w:szCs w:val="20"/>
        </w:rPr>
        <w:t>. The market can be split by function as follows: Bipolar modules US$270 million (containing Rectifiers and Thyristors), IGBT Modules US$900 million, Integrated Modules US$200 million (containing rectifier and inverter function), and Intelligent Power Modules US$780 million. The total market size is larger (around US$3.8 billion in 2010), including discrete semiconductor devices.</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 xml:space="preserve">Variable Speed Drives: </w:t>
      </w:r>
      <w:r w:rsidRPr="00C95F78">
        <w:rPr>
          <w:szCs w:val="20"/>
        </w:rPr>
        <w:t>From an application point of view, more than half of the market (56 %) is in motor drives, in particular industrial motor drives. Power electronics are, therefore, the active component in the Variable Speed Drives (VSDs), an essential part of modern efficient motor driven systems (see Section 4.3.2). For this market, it is very important for module manufacturers to cover a wide power range with a one-module technology platform, as the market itself is modular.</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contextualSpacing/>
        <w:jc w:val="both"/>
        <w:rPr>
          <w:rFonts w:cs="GillSans"/>
        </w:rPr>
      </w:pPr>
      <w:r w:rsidRPr="00C95F78">
        <w:rPr>
          <w:rFonts w:cs="GillSans"/>
        </w:rPr>
        <w:t>VSDs are not new, but they are rapidly gaining penetration in industry. To date, the main applications have been alongside industrial pumps and fans, although compressor systems are also important. VSDs are used with motor driven systems that have a variable load. Before the advent of VSDs it was normal to operate a pump or fan at full speed, and the desired rate of flow of liquid or gas being achieved by ‘throttling’ the output by means of valves, vanes or other mechanical devices. By matching output to load electronically with a VSD can lead to energy savings of up to 50%.</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5A48E2" w:rsidP="00BB1A5E">
      <w:pPr>
        <w:autoSpaceDE w:val="0"/>
        <w:autoSpaceDN w:val="0"/>
        <w:adjustRightInd w:val="0"/>
        <w:spacing w:after="0" w:line="240" w:lineRule="auto"/>
        <w:contextualSpacing/>
        <w:jc w:val="both"/>
        <w:rPr>
          <w:rFonts w:cs="GillSans"/>
        </w:rPr>
      </w:pPr>
      <w:r w:rsidRPr="00C95F78">
        <w:rPr>
          <w:rFonts w:cs="GillSans"/>
        </w:rPr>
        <w:t>Where once used mainly alongside large industrial motors, VSDs are now finding applications in with small industrial machines, in commercial and residential premises, and with quite small equipment such as room air conditioners. But, the depth of penetration of this technology is still quite limited. It is estimated that at present only around 10% of motor driven systems with variable loads are used with a VSD.</w:t>
      </w:r>
    </w:p>
    <w:p w:rsidR="005A48E2" w:rsidRPr="00C95F78" w:rsidRDefault="005A48E2" w:rsidP="00BB1A5E">
      <w:pPr>
        <w:autoSpaceDE w:val="0"/>
        <w:autoSpaceDN w:val="0"/>
        <w:adjustRightInd w:val="0"/>
        <w:spacing w:after="0" w:line="240" w:lineRule="auto"/>
        <w:contextualSpacing/>
        <w:jc w:val="both"/>
        <w:rPr>
          <w:rFonts w:cs="GillSans"/>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 xml:space="preserve">Non-Automotive Traction Applications: </w:t>
      </w:r>
      <w:r w:rsidRPr="00C95F78">
        <w:rPr>
          <w:szCs w:val="20"/>
        </w:rPr>
        <w:t xml:space="preserve">The next larger application for power electronics is for traction, associated with trains and other rail systems, commercial and military vehicles. This sector has an estimated 8% market share. For this application, the highest reliability and long term availability through multiple sources are key factors. </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The Consumer Market:</w:t>
      </w:r>
      <w:r w:rsidRPr="00C95F78">
        <w:rPr>
          <w:szCs w:val="20"/>
        </w:rPr>
        <w:t xml:space="preserve"> The consumer market has a share of 10%. Here, intelligent power modules are favoured. In the low horse power range, fully integrated power modules are offered in single-in-line or dual-in-line packages. </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 xml:space="preserve">The Automotive Market: </w:t>
      </w:r>
      <w:r w:rsidRPr="00C95F78">
        <w:rPr>
          <w:szCs w:val="20"/>
        </w:rPr>
        <w:t>This is a small but fast growing segment of the power electronics business, with an estimated 5% share but an annual growth rate approaching 20% p.a. A large portion of this market, and the main growth area is for high voltage systems associated with hybrid and electric vehicles. This is a technically demanding market, with high ambient temperatures and a high number of thermal cycles. More details of this sector are provided in Section 2 of this Report.</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 xml:space="preserve">The Renewable Energy Market: </w:t>
      </w:r>
      <w:r w:rsidRPr="00C95F78">
        <w:rPr>
          <w:szCs w:val="20"/>
        </w:rPr>
        <w:t>This is also a small but fast growing segment of the power electronics business, with an estimated 6% share but an annual growth rate over 20% p.a. Both wind power and solar PV power, the two main growth areas in renewable energy, are power electronics intensive. Power modules for wind power have similar requirements to modules for traction applications. A very high intermittent operating lifetime, long term availability, high reliability, and suitability for harsh environments are prerequisites. More details of this sector are provided in Section 3 of this Report.</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rPr>
          <w:szCs w:val="20"/>
        </w:rPr>
      </w:pPr>
      <w:r w:rsidRPr="00C95F78">
        <w:rPr>
          <w:b/>
          <w:szCs w:val="20"/>
        </w:rPr>
        <w:t xml:space="preserve">Miscellaneous Applications: </w:t>
      </w:r>
      <w:r w:rsidRPr="00C95F78">
        <w:rPr>
          <w:szCs w:val="20"/>
        </w:rPr>
        <w:t>Applications other than those specified above account for around 15% of the power electronics market. The other applications include a significant power electronics in the electricity grid associated with DC/AC and AC/DC high voltage inverters.</w:t>
      </w:r>
    </w:p>
    <w:p w:rsidR="005A48E2" w:rsidRPr="00C95F78" w:rsidRDefault="005A48E2" w:rsidP="00BB1A5E">
      <w:pPr>
        <w:autoSpaceDE w:val="0"/>
        <w:autoSpaceDN w:val="0"/>
        <w:adjustRightInd w:val="0"/>
        <w:spacing w:after="0" w:line="240" w:lineRule="auto"/>
        <w:jc w:val="both"/>
        <w:rPr>
          <w:szCs w:val="20"/>
        </w:rPr>
      </w:pPr>
    </w:p>
    <w:p w:rsidR="005A48E2" w:rsidRPr="00C95F78" w:rsidRDefault="005A48E2" w:rsidP="00BB1A5E">
      <w:pPr>
        <w:autoSpaceDE w:val="0"/>
        <w:autoSpaceDN w:val="0"/>
        <w:adjustRightInd w:val="0"/>
        <w:spacing w:after="0" w:line="240" w:lineRule="auto"/>
        <w:jc w:val="both"/>
      </w:pPr>
      <w:r w:rsidRPr="00C95F78">
        <w:rPr>
          <w:b/>
          <w:szCs w:val="20"/>
        </w:rPr>
        <w:t xml:space="preserve">Technology Trends: </w:t>
      </w:r>
      <w:r w:rsidRPr="00C95F78">
        <w:t xml:space="preserve">Progress in power chips and ever increasing requirements for lower cost, higher quality and reliability and reduced size drive the technical evolution of the power electronics business. </w:t>
      </w:r>
    </w:p>
    <w:p w:rsidR="005A48E2" w:rsidRPr="00C95F78" w:rsidRDefault="005A48E2" w:rsidP="00BB1A5E">
      <w:pPr>
        <w:autoSpaceDE w:val="0"/>
        <w:autoSpaceDN w:val="0"/>
        <w:adjustRightInd w:val="0"/>
        <w:spacing w:after="0" w:line="240" w:lineRule="auto"/>
        <w:jc w:val="both"/>
      </w:pPr>
    </w:p>
    <w:p w:rsidR="005A48E2" w:rsidRPr="00C95F78" w:rsidRDefault="005A48E2" w:rsidP="00BB1A5E">
      <w:pPr>
        <w:autoSpaceDE w:val="0"/>
        <w:autoSpaceDN w:val="0"/>
        <w:adjustRightInd w:val="0"/>
        <w:spacing w:after="0" w:line="240" w:lineRule="auto"/>
        <w:jc w:val="both"/>
      </w:pPr>
      <w:r w:rsidRPr="00C95F78">
        <w:t xml:space="preserve">The same issues of ensuring interconnectivity and thermal management that apply to electronics in general apply to power electronics (see Section 4.3.5). We are seeing a trend to replace solder contacts by sintering for higher temperature and more reliable devices. Also, wire bonds are being replaced by welded contacts, while modules are being designed to mechanically integrate more functions, even where there is higher power throughput. </w:t>
      </w:r>
    </w:p>
    <w:p w:rsidR="005A48E2" w:rsidRPr="00C95F78" w:rsidRDefault="005A48E2" w:rsidP="00BB1A5E">
      <w:pPr>
        <w:autoSpaceDE w:val="0"/>
        <w:autoSpaceDN w:val="0"/>
        <w:adjustRightInd w:val="0"/>
        <w:spacing w:after="0" w:line="240" w:lineRule="auto"/>
        <w:jc w:val="both"/>
      </w:pPr>
    </w:p>
    <w:p w:rsidR="00847CDB" w:rsidRPr="00C95F78" w:rsidRDefault="005A48E2" w:rsidP="00BB1A5E">
      <w:pPr>
        <w:autoSpaceDE w:val="0"/>
        <w:autoSpaceDN w:val="0"/>
        <w:adjustRightInd w:val="0"/>
        <w:spacing w:after="0" w:line="240" w:lineRule="auto"/>
        <w:jc w:val="both"/>
        <w:rPr>
          <w:szCs w:val="20"/>
        </w:rPr>
      </w:pPr>
      <w:r w:rsidRPr="00C95F78">
        <w:t>To fulfil the greater demands placed on the power model, new packaging concepts, such as SKiN, are being developed. An alternative approach, most suitable for rugged constructions in a</w:t>
      </w:r>
      <w:r w:rsidR="00BC4F7B">
        <w:t xml:space="preserve"> high</w:t>
      </w:r>
      <w:r w:rsidR="00847CDB">
        <w:t xml:space="preserve"> </w:t>
      </w:r>
      <w:r w:rsidR="00847CDB" w:rsidRPr="00C95F78">
        <w:t>temperature environment, is to un-pack power modules into their separate components. Highly</w:t>
      </w:r>
      <w:r w:rsidR="00847CDB">
        <w:t xml:space="preserve"> </w:t>
      </w:r>
      <w:r w:rsidR="00847CDB" w:rsidRPr="00C95F78">
        <w:t>integrated power electronic systems can be constructed without the use of power modules, starting the assembly from mounting substrates to a heat sink and to stack power and control layers on top. This is the option now being employed in the emerging automotive market.</w:t>
      </w:r>
    </w:p>
    <w:p w:rsidR="005A48E2" w:rsidRPr="00C95F78" w:rsidRDefault="005A48E2" w:rsidP="00BB1A5E">
      <w:pPr>
        <w:autoSpaceDE w:val="0"/>
        <w:autoSpaceDN w:val="0"/>
        <w:adjustRightInd w:val="0"/>
        <w:spacing w:after="0" w:line="240" w:lineRule="auto"/>
        <w:jc w:val="both"/>
      </w:pPr>
      <w:r w:rsidRPr="00C95F78">
        <w:br w:type="page"/>
      </w:r>
    </w:p>
    <w:p w:rsidR="005A48E2" w:rsidRPr="00C95F78" w:rsidRDefault="005A48E2" w:rsidP="00CD78AF">
      <w:pPr>
        <w:pStyle w:val="Caption"/>
        <w:contextualSpacing/>
        <w:jc w:val="center"/>
        <w:rPr>
          <w:sz w:val="28"/>
          <w:szCs w:val="28"/>
        </w:rPr>
      </w:pPr>
      <w:bookmarkStart w:id="240" w:name="_Ref263163321"/>
      <w:bookmarkStart w:id="241" w:name="_Toc263671776"/>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122</w:t>
      </w:r>
      <w:r w:rsidR="00D50FDC" w:rsidRPr="00C95F78">
        <w:rPr>
          <w:sz w:val="28"/>
          <w:szCs w:val="28"/>
        </w:rPr>
        <w:fldChar w:fldCharType="end"/>
      </w:r>
      <w:bookmarkEnd w:id="240"/>
      <w:r w:rsidRPr="00C95F78">
        <w:rPr>
          <w:sz w:val="28"/>
          <w:szCs w:val="28"/>
        </w:rPr>
        <w:t>: Forecast Power Electronics Market (constant US$ million)</w:t>
      </w:r>
      <w:bookmarkEnd w:id="241"/>
    </w:p>
    <w:p w:rsidR="005A48E2" w:rsidRPr="00C95F78" w:rsidRDefault="005A48E2" w:rsidP="00BB1A5E">
      <w:pPr>
        <w:spacing w:after="0" w:line="240" w:lineRule="auto"/>
        <w:contextualSpacing/>
        <w:jc w:val="both"/>
      </w:pPr>
      <w:r w:rsidRPr="00C95F78">
        <w:rPr>
          <w:noProof/>
          <w:lang w:val="en-US"/>
        </w:rPr>
        <w:drawing>
          <wp:inline distT="0" distB="0" distL="0" distR="0">
            <wp:extent cx="5831840" cy="4646971"/>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srcRect/>
                    <a:stretch>
                      <a:fillRect/>
                    </a:stretch>
                  </pic:blipFill>
                  <pic:spPr bwMode="auto">
                    <a:xfrm>
                      <a:off x="0" y="0"/>
                      <a:ext cx="5831840" cy="4646971"/>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Default="005A48E2" w:rsidP="00BB1A5E">
      <w:pPr>
        <w:spacing w:after="0" w:line="240" w:lineRule="auto"/>
        <w:contextualSpacing/>
        <w:jc w:val="both"/>
      </w:pPr>
    </w:p>
    <w:p w:rsidR="00BC4F7B" w:rsidRPr="00C95F78" w:rsidRDefault="00BC4F7B" w:rsidP="00BB1A5E">
      <w:pPr>
        <w:spacing w:after="0" w:line="240" w:lineRule="auto"/>
        <w:contextualSpacing/>
        <w:jc w:val="both"/>
      </w:pPr>
    </w:p>
    <w:p w:rsidR="00BC4F7B" w:rsidRPr="00C95F78" w:rsidRDefault="00BC4F7B"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Market Forecasts by Sector</w:t>
      </w:r>
    </w:p>
    <w:p w:rsidR="00BC4F7B" w:rsidRPr="00C95F78" w:rsidRDefault="00BC4F7B" w:rsidP="00BB1A5E">
      <w:pPr>
        <w:spacing w:after="0" w:line="240" w:lineRule="auto"/>
        <w:contextualSpacing/>
        <w:jc w:val="both"/>
      </w:pPr>
    </w:p>
    <w:p w:rsidR="005A48E2" w:rsidRPr="00C95F78" w:rsidRDefault="00BC4F7B" w:rsidP="00BB1A5E">
      <w:pPr>
        <w:spacing w:after="0" w:line="240" w:lineRule="auto"/>
        <w:contextualSpacing/>
        <w:jc w:val="both"/>
      </w:pPr>
      <w:r w:rsidRPr="00C95F78">
        <w:t xml:space="preserve">In </w:t>
      </w:r>
      <w:r w:rsidR="003C7AEB">
        <w:fldChar w:fldCharType="begin"/>
      </w:r>
      <w:r w:rsidR="003C7AEB">
        <w:instrText xml:space="preserve"> REF _Ref263163321 \h  \* MERGEFORMAT </w:instrText>
      </w:r>
      <w:r w:rsidR="003C7AEB">
        <w:fldChar w:fldCharType="separate"/>
      </w:r>
      <w:r w:rsidR="0005759A" w:rsidRPr="0005759A">
        <w:t xml:space="preserve">Figure </w:t>
      </w:r>
      <w:r w:rsidR="0005759A" w:rsidRPr="0005759A">
        <w:rPr>
          <w:noProof/>
        </w:rPr>
        <w:t>122</w:t>
      </w:r>
      <w:r w:rsidR="003C7AEB">
        <w:fldChar w:fldCharType="end"/>
      </w:r>
      <w:r w:rsidRPr="00C95F78">
        <w:t xml:space="preserve"> we present forecasts of the power electronics market by value. The figures are based on consensus views as to the likely growth of the power electronics industry and specific developments by sector. </w:t>
      </w:r>
      <w:r w:rsidR="00FB0A29">
        <w:t>I</w:t>
      </w:r>
      <w:r w:rsidR="00FB0A29" w:rsidRPr="00C95F78">
        <w:t xml:space="preserve">n </w:t>
      </w:r>
      <w:r w:rsidRPr="00C95F78">
        <w:t xml:space="preserve">particular, we identify particularly rapid growth in the automotive sector, which is almost </w:t>
      </w:r>
      <w:r w:rsidR="005A48E2" w:rsidRPr="00C95F78">
        <w:t>entirely related to high voltage systems in hybrid and electric vehicles. Renewable energy generation, mainly from wind power and solar PV generation, will also be a major contributor to growth.</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The Impact on Copper</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Copper content figures are based on our estimates of the copper to value ratio in each market segment. We believe that these ratios are likely to be fairly constant, forces pulling the copper content down in relation to value (downsizing, substitution by cheaper materials) being fully balanced by forces working in the opposite direction (necessity of using copper for heat dissipation and other reasons, reduction in supplier margins over time).</w:t>
      </w:r>
      <w:r w:rsidRPr="00C95F78">
        <w:br w:type="page"/>
      </w:r>
    </w:p>
    <w:p w:rsidR="005A48E2" w:rsidRPr="00C95F78" w:rsidRDefault="005A48E2" w:rsidP="00CD78AF">
      <w:pPr>
        <w:pStyle w:val="Caption"/>
        <w:contextualSpacing/>
        <w:jc w:val="center"/>
        <w:rPr>
          <w:sz w:val="28"/>
          <w:szCs w:val="28"/>
        </w:rPr>
      </w:pPr>
      <w:bookmarkStart w:id="242" w:name="_Toc263671777"/>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123</w:t>
      </w:r>
      <w:r w:rsidR="00D50FDC" w:rsidRPr="00C95F78">
        <w:rPr>
          <w:sz w:val="28"/>
          <w:szCs w:val="28"/>
        </w:rPr>
        <w:fldChar w:fldCharType="end"/>
      </w:r>
      <w:r w:rsidRPr="00C95F78">
        <w:rPr>
          <w:sz w:val="28"/>
          <w:szCs w:val="28"/>
        </w:rPr>
        <w:t>: Forecast Power Electronics Market (kt Cu)</w:t>
      </w:r>
      <w:bookmarkEnd w:id="242"/>
    </w:p>
    <w:p w:rsidR="005A48E2" w:rsidRPr="00C95F78" w:rsidRDefault="005A48E2" w:rsidP="00BB1A5E">
      <w:pPr>
        <w:spacing w:after="0" w:line="240" w:lineRule="auto"/>
        <w:contextualSpacing/>
        <w:jc w:val="both"/>
      </w:pPr>
      <w:r w:rsidRPr="00C95F78">
        <w:rPr>
          <w:noProof/>
          <w:lang w:val="en-US"/>
        </w:rPr>
        <w:drawing>
          <wp:inline distT="0" distB="0" distL="0" distR="0">
            <wp:extent cx="5831840" cy="4646971"/>
            <wp:effectExtent l="1905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srcRect/>
                    <a:stretch>
                      <a:fillRect/>
                    </a:stretch>
                  </pic:blipFill>
                  <pic:spPr bwMode="auto">
                    <a:xfrm>
                      <a:off x="0" y="0"/>
                      <a:ext cx="5831840" cy="4646971"/>
                    </a:xfrm>
                    <a:prstGeom prst="rect">
                      <a:avLst/>
                    </a:prstGeom>
                    <a:noFill/>
                    <a:ln w="9525">
                      <a:noFill/>
                      <a:miter lim="800000"/>
                      <a:headEnd/>
                      <a:tailEnd/>
                    </a:ln>
                  </pic:spPr>
                </pic:pic>
              </a:graphicData>
            </a:graphic>
          </wp:inline>
        </w:drawing>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p>
    <w:p w:rsidR="00BC4F7B" w:rsidRPr="00C95F78" w:rsidRDefault="00BC4F7B" w:rsidP="00BB1A5E">
      <w:pPr>
        <w:spacing w:after="0" w:line="240" w:lineRule="auto"/>
        <w:contextualSpacing/>
        <w:jc w:val="both"/>
      </w:pPr>
    </w:p>
    <w:p w:rsidR="00BC4F7B" w:rsidRPr="00C95F78" w:rsidRDefault="00BC4F7B" w:rsidP="00BB1A5E">
      <w:pPr>
        <w:spacing w:after="0" w:line="240" w:lineRule="auto"/>
        <w:contextualSpacing/>
        <w:jc w:val="both"/>
      </w:pPr>
      <w:r w:rsidRPr="00C95F78">
        <w:t>Overall, power electronics is expected to show strong growth, increasing by more than 150% as a market for copper between 2010 and 2020 to reach 165 ktpy.</w:t>
      </w:r>
    </w:p>
    <w:p w:rsidR="00BC4F7B" w:rsidRPr="00C95F78" w:rsidRDefault="00BC4F7B" w:rsidP="00BB1A5E">
      <w:pPr>
        <w:spacing w:after="0" w:line="240" w:lineRule="auto"/>
        <w:contextualSpacing/>
        <w:jc w:val="both"/>
      </w:pPr>
    </w:p>
    <w:p w:rsidR="00BC4F7B" w:rsidRPr="00C95F78" w:rsidRDefault="00BC4F7B" w:rsidP="00BB1A5E">
      <w:pPr>
        <w:spacing w:after="0" w:line="240" w:lineRule="auto"/>
        <w:contextualSpacing/>
        <w:jc w:val="both"/>
      </w:pPr>
      <w:r w:rsidRPr="00C95F78">
        <w:t>As this is already a substantial market, power electronics as a whole does not meet the criteria for a new market, as defined in this report. Two submarkets, do meet the criteria, however.</w:t>
      </w:r>
    </w:p>
    <w:p w:rsidR="00BC4F7B" w:rsidRPr="00C95F78" w:rsidRDefault="00BC4F7B" w:rsidP="00BB1A5E">
      <w:pPr>
        <w:spacing w:after="0" w:line="240" w:lineRule="auto"/>
        <w:contextualSpacing/>
        <w:jc w:val="both"/>
      </w:pPr>
    </w:p>
    <w:p w:rsidR="005A48E2" w:rsidRPr="00C95F78" w:rsidRDefault="00BC4F7B" w:rsidP="00BB1A5E">
      <w:pPr>
        <w:spacing w:after="0" w:line="240" w:lineRule="auto"/>
        <w:contextualSpacing/>
        <w:jc w:val="both"/>
      </w:pPr>
      <w:r w:rsidRPr="00C95F78">
        <w:t xml:space="preserve">The </w:t>
      </w:r>
      <w:r w:rsidRPr="00C95F78">
        <w:rPr>
          <w:b/>
        </w:rPr>
        <w:t>automotive market</w:t>
      </w:r>
      <w:r w:rsidRPr="00C95F78">
        <w:t xml:space="preserve"> for power electronics is expected to rise from around 5 kt in 2010 to 41 kt in 2020. Taking the market for power electronics in hybrids and electric vehicles alone, this market is </w:t>
      </w:r>
      <w:r w:rsidR="005A48E2" w:rsidRPr="00C95F78">
        <w:t>expected to rise from around 2 k</w:t>
      </w:r>
      <w:r w:rsidR="00CC52D6">
        <w:t xml:space="preserve">tpy to 35 ktpy globally. </w:t>
      </w:r>
      <w:r w:rsidR="005A48E2" w:rsidRPr="00C95F78">
        <w:t>Europe’s share of the automotive market for power electronics is expected to rise, reaching around one-fifth of the global total in 2020.</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The renewable market for </w:t>
      </w:r>
      <w:r w:rsidRPr="00C95F78">
        <w:rPr>
          <w:b/>
        </w:rPr>
        <w:t>power electronics</w:t>
      </w:r>
      <w:r w:rsidRPr="00C95F78">
        <w:t xml:space="preserve"> may also be regarded as a new market. Globally, this is forecast to expand from 4 kt in 2010 to 14 kt in 2020. Europe’s share is expected to decline from around 40% to 25%.</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Power electronics is mainly a market for copper in the form of strip and foil, although some rod and bar, and wire products, is also used.</w:t>
      </w:r>
    </w:p>
    <w:p w:rsidR="005A48E2" w:rsidRDefault="005A48E2" w:rsidP="00BB1A5E">
      <w:pPr>
        <w:spacing w:after="0" w:line="240" w:lineRule="auto"/>
        <w:contextualSpacing/>
        <w:jc w:val="both"/>
      </w:pPr>
    </w:p>
    <w:p w:rsidR="00847CDB" w:rsidRPr="00C95F78" w:rsidRDefault="00847CDB" w:rsidP="00BB1A5E">
      <w:pPr>
        <w:spacing w:after="0" w:line="240" w:lineRule="auto"/>
        <w:contextualSpacing/>
        <w:jc w:val="both"/>
      </w:pPr>
    </w:p>
    <w:p w:rsidR="005A48E2" w:rsidRPr="005016D7" w:rsidRDefault="005A48E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43" w:name="_Toc263688624"/>
      <w:r w:rsidRPr="005016D7">
        <w:rPr>
          <w:rFonts w:asciiTheme="minorHAnsi" w:hAnsiTheme="minorHAnsi"/>
          <w:color w:val="365F91" w:themeColor="accent1" w:themeShade="BF"/>
          <w:sz w:val="26"/>
          <w:szCs w:val="26"/>
        </w:rPr>
        <w:t>Other Electronics Business</w:t>
      </w:r>
      <w:bookmarkEnd w:id="243"/>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The analysis of power electronics above indicates how electronics is a fast moving business. As such, alternative technologies can alter the ground rules upon which any estimates of market prospects of materials used by the industry alter quite quickly. </w:t>
      </w:r>
      <w:r w:rsidR="0004044A">
        <w:t>T</w:t>
      </w:r>
      <w:r w:rsidR="0004044A" w:rsidRPr="00C95F78">
        <w:t xml:space="preserve">his </w:t>
      </w:r>
      <w:r w:rsidRPr="00C95F78">
        <w:t>is, therefore, an area where new submarkets may emerge quickly (and other ones disappear).</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While we do not identify any individual new markets as such, it is worth taking a brief look at the trends that may lead to their emergence.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Interconnection between electronic components within packaged modules is one area where we are seeing quite rapid development. The requirement for denser packaging and reduced material use overall have the combined effect of creating a need for the bonding of dissimilar materials in innovative ways. Brazing and fusing of copper to other materials is one option.</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Even more important is the need for superior heat dissipation, and the reduction of thermally induced stress of packaged microelectronic and optoelectronic devices. This applies at the chip, package and board levels, also to heat sinks. This requirement may provide opportunities for new copper alloys with high thermal relaxation resistance and reinforce the role of copper in heat sinks. There may be high technology opportunities for copper in phase change materials and in heat spreaders designed for directional heat transmission.</w:t>
      </w:r>
    </w:p>
    <w:p w:rsidR="005A48E2" w:rsidRPr="00C95F78" w:rsidRDefault="005A48E2" w:rsidP="00BB1A5E">
      <w:pPr>
        <w:spacing w:after="0" w:line="240" w:lineRule="auto"/>
        <w:jc w:val="both"/>
      </w:pPr>
    </w:p>
    <w:p w:rsidR="005A48E2" w:rsidRPr="00C95F78" w:rsidRDefault="005A48E2" w:rsidP="00BB1A5E">
      <w:pPr>
        <w:spacing w:after="0" w:line="240" w:lineRule="auto"/>
        <w:jc w:val="both"/>
      </w:pPr>
      <w:r w:rsidRPr="00C95F78">
        <w:t>As electronic items get both smaller and more complex, designers are thinking at the nanotechnology scale. Copper already has a role here in IC interconnects, but as things get smaller copper needs to defend its position at the molecular scale, and find new applications. Copper particles in nano-particles and nano-fluids, where copper is combined with other materials, can impart the properties of copper (heat transfer, electrical conductivity) at a much smaller scale than is currently available.</w:t>
      </w:r>
    </w:p>
    <w:p w:rsidR="005A48E2" w:rsidRPr="00C95F78" w:rsidRDefault="005A48E2" w:rsidP="00BB1A5E">
      <w:pPr>
        <w:spacing w:after="0" w:line="240" w:lineRule="auto"/>
        <w:jc w:val="both"/>
      </w:pPr>
    </w:p>
    <w:p w:rsidR="005A48E2" w:rsidRPr="005016D7" w:rsidRDefault="005A48E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44" w:name="_Toc263688625"/>
      <w:r w:rsidRPr="005016D7">
        <w:rPr>
          <w:rFonts w:asciiTheme="minorHAnsi" w:hAnsiTheme="minorHAnsi"/>
          <w:color w:val="365F91" w:themeColor="accent1" w:themeShade="BF"/>
          <w:sz w:val="26"/>
          <w:szCs w:val="26"/>
        </w:rPr>
        <w:t>Energy Storage</w:t>
      </w:r>
      <w:bookmarkEnd w:id="244"/>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rPr>
          <w:b/>
          <w:color w:val="365F91" w:themeColor="accent1" w:themeShade="BF"/>
          <w:sz w:val="24"/>
          <w:szCs w:val="24"/>
        </w:rPr>
      </w:pPr>
      <w:r w:rsidRPr="00C95F78">
        <w:rPr>
          <w:b/>
          <w:color w:val="365F91" w:themeColor="accent1" w:themeShade="BF"/>
          <w:sz w:val="24"/>
          <w:szCs w:val="24"/>
        </w:rPr>
        <w:t>Alternative Technical and Market Solutions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Energy storage is an important enabling technology for green market developments. Effective and affordable storage of energy allows it to be used when it is needed and in the quantity that is required. Effective battery development for the storage of electricity in cars is a key technology enabling the development of the market for electric cars.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As yet, the technology is not really in place for the full development of the BEV Battery Electric Vehicle) market. Smaller batteries used in HEVs (hybrid electric vehicles) and PHEVs (plug-in hybrids) are of limited capacity and highly expensive, making this a market that still requires subsidies. Further development of the battery is required, especially a reduction in cost, is required to allow the hybrid, and especially the full BEV, market to take off. Most forecasters now assume that this will take place, pinning their hopes on the </w:t>
      </w:r>
      <w:r w:rsidR="00A947B2">
        <w:t>l</w:t>
      </w:r>
      <w:r w:rsidRPr="00C95F78">
        <w:t>i-ion battery, now considered to be a superior and cheaper technology to the nickel metal hydride battery used in most HEVs to date (see Section 2 of this Report</w:t>
      </w:r>
      <w:r w:rsidR="0004044A">
        <w:t>)</w:t>
      </w:r>
      <w:r w:rsidRPr="00C95F78">
        <w:t>.</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Compared to cars, much greater energy storage capacity in individual batteries would be required if it were to be relied upon to interconnect </w:t>
      </w:r>
      <w:r w:rsidR="0074178D">
        <w:t>distributed</w:t>
      </w:r>
      <w:r w:rsidRPr="00C95F78">
        <w:t xml:space="preserve"> generation for the electricity grid. Currently, only concentrating solar (storing energy in the form of heat) and some hydro schemes (with pumped storage) are able to store energy that can be converted to electricity. From other sources, electricity from the new sources is fed into the grid as it becomes available. Balancing of the network is achieved by altering power output from the traditional, controllable, sources of electricity.</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Over time, we may expect to see energy storage to develop so that there is a more controlled interconnection of </w:t>
      </w:r>
      <w:r w:rsidR="0074178D">
        <w:t>distributed</w:t>
      </w:r>
      <w:r w:rsidRPr="00C95F78">
        <w:t xml:space="preserve"> generation. As well as allowing better control of the network, supply of electricity from remote sources when the supplier wants to release it offers the opportunity of maximising revenue for the seller. This may be particularly useful in improving the economics of electricity generation and the single building or community level.</w:t>
      </w:r>
    </w:p>
    <w:p w:rsidR="005A48E2" w:rsidRPr="00C95F78" w:rsidRDefault="005A48E2" w:rsidP="00BB1A5E">
      <w:pPr>
        <w:spacing w:after="0" w:line="240" w:lineRule="auto"/>
        <w:contextualSpacing/>
        <w:jc w:val="both"/>
      </w:pPr>
    </w:p>
    <w:p w:rsidR="005A48E2" w:rsidRDefault="005A48E2" w:rsidP="00BB1A5E">
      <w:pPr>
        <w:spacing w:after="0" w:line="240" w:lineRule="auto"/>
        <w:contextualSpacing/>
        <w:jc w:val="both"/>
      </w:pPr>
      <w:r w:rsidRPr="00C95F78">
        <w:t xml:space="preserve">Today, the greatest attention in the energy storage arena is placed on batteries. There are other technologies that have an important role, however. Ultimately, because of their greater capacity, fuel cells (storing hydrogen and releasing the energy as electricity) may prove to be the superior option for vehicles. Fuel cells may also come to have a major role in </w:t>
      </w:r>
      <w:r w:rsidR="0074178D">
        <w:t>distributed</w:t>
      </w:r>
      <w:r w:rsidRPr="00C95F78">
        <w:t xml:space="preserve"> generation.</w:t>
      </w:r>
    </w:p>
    <w:p w:rsidR="0004044A" w:rsidRPr="00C95F78" w:rsidRDefault="0004044A" w:rsidP="00BB1A5E">
      <w:pPr>
        <w:spacing w:after="0" w:line="240" w:lineRule="auto"/>
        <w:contextualSpacing/>
        <w:jc w:val="both"/>
      </w:pPr>
    </w:p>
    <w:p w:rsidR="005A48E2" w:rsidRPr="00C95F78" w:rsidRDefault="005A48E2" w:rsidP="00BB1A5E">
      <w:pPr>
        <w:spacing w:after="0" w:line="240" w:lineRule="auto"/>
        <w:contextualSpacing/>
        <w:jc w:val="both"/>
      </w:pPr>
      <w:r w:rsidRPr="00C95F78">
        <w:t>Both batteries and fuel cells are adapted to store energy for long periods and release it slowly. There are other energy storage devices that provide short-duration power. These can be used to ensure the integrity of electricity infrastructure, and also to provide additional power in transport markets. The products concerned include ultra-capacitors and high speed flywheels.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rPr>
          <w:b/>
        </w:rPr>
        <w:t xml:space="preserve">Batteries: </w:t>
      </w:r>
      <w:r w:rsidRPr="00C95F78">
        <w:t>There is a huge range of technical solutions in batteries, each competing for a niche in the expanding energy storage market. For any given market, the choice will depend on the best solution taking into account the following:</w:t>
      </w:r>
    </w:p>
    <w:p w:rsidR="005A48E2" w:rsidRPr="00C95F78" w:rsidRDefault="005A48E2" w:rsidP="00BB1A5E">
      <w:pPr>
        <w:spacing w:after="0" w:line="240" w:lineRule="auto"/>
        <w:contextualSpacing/>
        <w:jc w:val="both"/>
      </w:pPr>
    </w:p>
    <w:p w:rsidR="005A48E2" w:rsidRPr="00C95F78" w:rsidRDefault="005A48E2" w:rsidP="00BB1A5E">
      <w:pPr>
        <w:pStyle w:val="ListParagraph"/>
        <w:numPr>
          <w:ilvl w:val="0"/>
          <w:numId w:val="24"/>
        </w:numPr>
        <w:spacing w:after="120" w:line="240" w:lineRule="auto"/>
        <w:ind w:left="714" w:hanging="357"/>
        <w:contextualSpacing w:val="0"/>
        <w:jc w:val="both"/>
      </w:pPr>
      <w:r w:rsidRPr="00C95F78">
        <w:t>Power: This is the rate of energy transfer, measured in kilowatts. High power in vehicles allows rapid acceleration.</w:t>
      </w:r>
    </w:p>
    <w:p w:rsidR="005A48E2" w:rsidRPr="00C95F78" w:rsidRDefault="005A48E2" w:rsidP="00BB1A5E">
      <w:pPr>
        <w:pStyle w:val="ListParagraph"/>
        <w:numPr>
          <w:ilvl w:val="0"/>
          <w:numId w:val="24"/>
        </w:numPr>
        <w:spacing w:after="120" w:line="240" w:lineRule="auto"/>
        <w:ind w:left="714" w:hanging="357"/>
        <w:contextualSpacing w:val="0"/>
        <w:jc w:val="both"/>
      </w:pPr>
      <w:r w:rsidRPr="00C95F78">
        <w:t>Energy: This is a measure of storage capacity, normally measured in kilowatt hours. More energy means that the battery will remain charged for longer at any given rate of power output.</w:t>
      </w:r>
    </w:p>
    <w:p w:rsidR="005A48E2" w:rsidRPr="00C95F78" w:rsidRDefault="005A48E2" w:rsidP="00BB1A5E">
      <w:pPr>
        <w:pStyle w:val="ListParagraph"/>
        <w:numPr>
          <w:ilvl w:val="0"/>
          <w:numId w:val="24"/>
        </w:numPr>
        <w:spacing w:after="120" w:line="240" w:lineRule="auto"/>
        <w:ind w:left="714" w:hanging="357"/>
        <w:contextualSpacing w:val="0"/>
        <w:jc w:val="both"/>
      </w:pPr>
      <w:r w:rsidRPr="00C95F78">
        <w:t xml:space="preserve">Safety: </w:t>
      </w:r>
      <w:r w:rsidRPr="00C95F78">
        <w:rPr>
          <w:szCs w:val="20"/>
        </w:rPr>
        <w:t>Most batteries rely on some form of chemical reaction in order to discharge electricity, with the potential for chemical explosion or fire ever present. Short circuits, overcharging, high heat exposure, and performance in exceptional circumstances (such as a vehicle collision) all need to be taken into account when determining safety.</w:t>
      </w:r>
    </w:p>
    <w:p w:rsidR="005A48E2" w:rsidRPr="00C95F78" w:rsidRDefault="005A48E2" w:rsidP="00BB1A5E">
      <w:pPr>
        <w:pStyle w:val="ListParagraph"/>
        <w:numPr>
          <w:ilvl w:val="0"/>
          <w:numId w:val="24"/>
        </w:numPr>
        <w:spacing w:after="120" w:line="240" w:lineRule="auto"/>
        <w:ind w:left="714" w:hanging="357"/>
        <w:contextualSpacing w:val="0"/>
        <w:jc w:val="both"/>
      </w:pPr>
      <w:r w:rsidRPr="00C95F78">
        <w:t>Life:</w:t>
      </w:r>
      <w:r w:rsidRPr="00C95F78">
        <w:rPr>
          <w:szCs w:val="20"/>
        </w:rPr>
        <w:t xml:space="preserve"> Calendar life is simply the ability of the battery to withstand degradation over time, and is generally independent of use. More importantly, cycle life measures the number of times a battery can be charged and discharged before energy and power capacity fall. For rechargeable batteries required to operate for a decade for more, this is a major issue.</w:t>
      </w:r>
    </w:p>
    <w:p w:rsidR="005A48E2" w:rsidRPr="00C95F78" w:rsidRDefault="005A48E2" w:rsidP="00BB1A5E">
      <w:pPr>
        <w:pStyle w:val="ListParagraph"/>
        <w:numPr>
          <w:ilvl w:val="0"/>
          <w:numId w:val="24"/>
        </w:numPr>
        <w:spacing w:after="0" w:line="240" w:lineRule="auto"/>
        <w:jc w:val="both"/>
      </w:pPr>
      <w:r w:rsidRPr="00C95F78">
        <w:t>Cost: Achieving the correct technical solution means little if the cost is prohibitively high.</w:t>
      </w:r>
    </w:p>
    <w:p w:rsidR="005A48E2" w:rsidRPr="00C95F78" w:rsidRDefault="005A48E2" w:rsidP="00BB1A5E">
      <w:pPr>
        <w:spacing w:after="0" w:line="240" w:lineRule="auto"/>
        <w:contextualSpacing/>
        <w:jc w:val="both"/>
        <w:rPr>
          <w:b/>
        </w:rPr>
      </w:pPr>
    </w:p>
    <w:p w:rsidR="005A48E2" w:rsidRPr="00C95F78" w:rsidRDefault="005A48E2" w:rsidP="00BB1A5E">
      <w:pPr>
        <w:spacing w:after="0" w:line="240" w:lineRule="auto"/>
        <w:contextualSpacing/>
        <w:jc w:val="both"/>
      </w:pPr>
      <w:r w:rsidRPr="00C95F78">
        <w:t xml:space="preserve">Assuming the issues of safety, life and cost can be resolved, the key metric in determining battery applicability is the relationship between power and energy rating. The positioning of various battery types is indicated in </w:t>
      </w:r>
      <w:r w:rsidR="003C7AEB">
        <w:fldChar w:fldCharType="begin"/>
      </w:r>
      <w:r w:rsidR="003C7AEB">
        <w:instrText xml:space="preserve"> REF _Ref263236812 \h  \* MERGEFORMAT </w:instrText>
      </w:r>
      <w:r w:rsidR="003C7AEB">
        <w:fldChar w:fldCharType="separate"/>
      </w:r>
      <w:r w:rsidR="0005759A" w:rsidRPr="0005759A">
        <w:t xml:space="preserve">Figure </w:t>
      </w:r>
      <w:r w:rsidR="0005759A" w:rsidRPr="0005759A">
        <w:rPr>
          <w:noProof/>
        </w:rPr>
        <w:t>124</w:t>
      </w:r>
      <w:r w:rsidR="003C7AEB">
        <w:fldChar w:fldCharType="end"/>
      </w:r>
      <w:r w:rsidRPr="00C95F78">
        <w:t xml:space="preserve">. The high power and energy rating of </w:t>
      </w:r>
      <w:r w:rsidR="00392A26">
        <w:t>l</w:t>
      </w:r>
      <w:r w:rsidR="00392A26" w:rsidRPr="00C95F78">
        <w:t>i</w:t>
      </w:r>
      <w:r w:rsidRPr="00C95F78">
        <w:t>-ion batteries in relation to competing types indicates why this is being developed as the preferred battery type for automotive and other applications.</w:t>
      </w:r>
    </w:p>
    <w:p w:rsidR="005A48E2" w:rsidRDefault="005A48E2" w:rsidP="00BB1A5E">
      <w:pPr>
        <w:spacing w:after="0" w:line="240" w:lineRule="auto"/>
        <w:contextualSpacing/>
        <w:jc w:val="both"/>
      </w:pPr>
    </w:p>
    <w:p w:rsidR="00BC4F7B" w:rsidRPr="00C95F78" w:rsidRDefault="00BC4F7B" w:rsidP="00BB1A5E">
      <w:pPr>
        <w:spacing w:after="0" w:line="240" w:lineRule="auto"/>
        <w:contextualSpacing/>
        <w:jc w:val="both"/>
      </w:pPr>
      <w:r w:rsidRPr="00C95F78">
        <w:rPr>
          <w:b/>
        </w:rPr>
        <w:t xml:space="preserve">Li-Ion Batteries: </w:t>
      </w:r>
      <w:r w:rsidRPr="00C95F78">
        <w:t>Small lithium ion batteries have long been used for relatively low energy and power applications, including laptop computers. Technology development of the li-ion battery has come to make them the battery of choice for the much more demanding hybrid and electric vehicle automotive application.</w:t>
      </w:r>
    </w:p>
    <w:p w:rsidR="00BC4F7B" w:rsidRPr="00C95F78" w:rsidRDefault="00BC4F7B" w:rsidP="00BB1A5E">
      <w:pPr>
        <w:spacing w:after="0" w:line="240" w:lineRule="auto"/>
        <w:contextualSpacing/>
        <w:jc w:val="both"/>
      </w:pPr>
    </w:p>
    <w:p w:rsidR="0004044A" w:rsidRDefault="00BC4F7B" w:rsidP="00A947B2">
      <w:pPr>
        <w:spacing w:after="0" w:line="240" w:lineRule="auto"/>
        <w:contextualSpacing/>
        <w:jc w:val="both"/>
      </w:pPr>
      <w:r w:rsidRPr="00C95F78">
        <w:t>Lithium batteries enjoy several advantages over the former favourite, the Nickel Metal Hydride battery. Li-ion batteries have greater cell voltage, higher energy and power densities, higher useful capacity, greater charge efficiency, lower self discharge rates and a longer operating life. In effect this</w:t>
      </w:r>
      <w:r w:rsidR="00A947B2">
        <w:t xml:space="preserve"> </w:t>
      </w:r>
    </w:p>
    <w:p w:rsidR="00A947B2" w:rsidRPr="00C95F78" w:rsidRDefault="00A947B2" w:rsidP="00BB1A5E">
      <w:pPr>
        <w:spacing w:after="0" w:line="240" w:lineRule="auto"/>
        <w:contextualSpacing/>
        <w:jc w:val="both"/>
      </w:pPr>
    </w:p>
    <w:p w:rsidR="005A48E2" w:rsidRPr="00C95F78" w:rsidRDefault="005A48E2" w:rsidP="00CD78AF">
      <w:pPr>
        <w:pStyle w:val="Caption"/>
        <w:spacing w:after="0"/>
        <w:ind w:left="567"/>
        <w:contextualSpacing/>
        <w:jc w:val="center"/>
        <w:rPr>
          <w:sz w:val="28"/>
          <w:szCs w:val="28"/>
        </w:rPr>
      </w:pPr>
      <w:bookmarkStart w:id="245" w:name="_Ref263236812"/>
      <w:bookmarkStart w:id="246" w:name="_Toc263671778"/>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124</w:t>
      </w:r>
      <w:r w:rsidR="00D50FDC" w:rsidRPr="00C95F78">
        <w:rPr>
          <w:sz w:val="28"/>
          <w:szCs w:val="28"/>
        </w:rPr>
        <w:fldChar w:fldCharType="end"/>
      </w:r>
      <w:bookmarkEnd w:id="245"/>
      <w:r w:rsidRPr="00C95F78">
        <w:rPr>
          <w:sz w:val="28"/>
          <w:szCs w:val="28"/>
        </w:rPr>
        <w:t>: Li-ion Batteries and Their Competitors</w:t>
      </w:r>
      <w:bookmarkEnd w:id="246"/>
    </w:p>
    <w:p w:rsidR="005A48E2" w:rsidRPr="00C95F78" w:rsidRDefault="005A48E2" w:rsidP="00BB1A5E">
      <w:pPr>
        <w:spacing w:after="0" w:line="240" w:lineRule="auto"/>
        <w:ind w:left="567"/>
        <w:jc w:val="both"/>
        <w:rPr>
          <w:sz w:val="4"/>
          <w:szCs w:val="4"/>
        </w:rPr>
      </w:pPr>
    </w:p>
    <w:p w:rsidR="005A48E2" w:rsidRPr="00C95F78" w:rsidRDefault="005A48E2" w:rsidP="00BB1A5E">
      <w:pPr>
        <w:spacing w:after="0" w:line="240" w:lineRule="auto"/>
        <w:ind w:left="567"/>
        <w:contextualSpacing/>
        <w:jc w:val="both"/>
      </w:pPr>
      <w:r w:rsidRPr="00C95F78">
        <w:object w:dxaOrig="11070" w:dyaOrig="6210">
          <v:shape id="_x0000_i1026" type="#_x0000_t75" style="width:427.2pt;height:242.4pt" o:ole="">
            <v:imagedata r:id="rId178" o:title=""/>
          </v:shape>
          <o:OLEObject Type="Embed" ProgID="PBrush" ShapeID="_x0000_i1026" DrawAspect="Content" ObjectID="_1548509622" r:id="rId179"/>
        </w:object>
      </w:r>
    </w:p>
    <w:p w:rsidR="005A48E2" w:rsidRPr="00C95F78" w:rsidRDefault="005A48E2" w:rsidP="00BB1A5E">
      <w:pPr>
        <w:spacing w:after="0" w:line="240" w:lineRule="auto"/>
        <w:contextualSpacing/>
        <w:jc w:val="both"/>
        <w:rPr>
          <w:sz w:val="4"/>
          <w:szCs w:val="4"/>
        </w:rPr>
      </w:pPr>
    </w:p>
    <w:p w:rsidR="00BC4F7B" w:rsidRDefault="00BC4F7B" w:rsidP="00BB1A5E">
      <w:pPr>
        <w:spacing w:after="0" w:line="240" w:lineRule="auto"/>
        <w:contextualSpacing/>
        <w:jc w:val="both"/>
      </w:pPr>
    </w:p>
    <w:p w:rsidR="00847CDB" w:rsidRDefault="00847CDB" w:rsidP="00BB1A5E">
      <w:pPr>
        <w:spacing w:after="0" w:line="240" w:lineRule="auto"/>
        <w:contextualSpacing/>
        <w:jc w:val="both"/>
      </w:pPr>
      <w:r w:rsidRPr="00C95F78">
        <w:t>means that they are able to operate over longer distances and with the same amount of charge. Li-ion batteries are also cheaper than the nickel-based alternative.</w:t>
      </w:r>
    </w:p>
    <w:p w:rsidR="00847CDB" w:rsidRPr="00C95F78" w:rsidRDefault="00847CDB"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To achieve their full potential, however, much more is expected of </w:t>
      </w:r>
      <w:r w:rsidR="00392A26">
        <w:t>l</w:t>
      </w:r>
      <w:r w:rsidR="00392A26" w:rsidRPr="00C95F78">
        <w:t>i</w:t>
      </w:r>
      <w:r w:rsidRPr="00C95F78">
        <w:t xml:space="preserve">-ion batteries. Estimates as to how far and how quickly the technology will develop vary, but it can be assumed that over the next three years, the key performance indicators of li-ion batteries will see a 30-40% percent improvement.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The general consensus is that we will be possible to produce a battery pack for about €350</w:t>
      </w:r>
      <w:r w:rsidR="00392A26">
        <w:t>/kWh</w:t>
      </w:r>
      <w:r w:rsidRPr="00C95F78">
        <w:t xml:space="preserve"> by 2015, or about two-thirds of the current cost. This would make the battery cost for an electric vehicle with a 35 kWh battery around €12,000. If vehicles are developed with lower weight (requiring smaller batteries) and </w:t>
      </w:r>
      <w:r w:rsidR="00392A26">
        <w:t>l</w:t>
      </w:r>
      <w:r w:rsidR="00392A26" w:rsidRPr="00C95F78">
        <w:t>i</w:t>
      </w:r>
      <w:r w:rsidRPr="00C95F78">
        <w:t>-ion battery costs come down more quickly, vehicle battery costs in the €8,000 range become possible. This would bring the BEV much closer to full commercialisation.</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Should </w:t>
      </w:r>
      <w:r w:rsidR="00392A26">
        <w:t>l</w:t>
      </w:r>
      <w:r w:rsidR="00392A26" w:rsidRPr="00C95F78">
        <w:t>i</w:t>
      </w:r>
      <w:r w:rsidRPr="00C95F78">
        <w:t xml:space="preserve">-ion batteries achieve much better performance and mass production bring down the costs substantially, new markets other than automotive could open up. In particular, </w:t>
      </w:r>
      <w:r w:rsidR="00A947B2">
        <w:t>l</w:t>
      </w:r>
      <w:r w:rsidRPr="00C95F78">
        <w:t xml:space="preserve">i-ion batteries for electricity storage relating to </w:t>
      </w:r>
      <w:r w:rsidR="0074178D">
        <w:t>distributed</w:t>
      </w:r>
      <w:r w:rsidR="005643F9">
        <w:t xml:space="preserve"> electricity generation become</w:t>
      </w:r>
      <w:r w:rsidRPr="00C95F78">
        <w:t xml:space="preserve"> possible.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A major step forward in this direction occurred on April 29</w:t>
      </w:r>
      <w:r w:rsidRPr="00C95F78">
        <w:rPr>
          <w:vertAlign w:val="superscript"/>
        </w:rPr>
        <w:t>th</w:t>
      </w:r>
      <w:r w:rsidRPr="00C95F78">
        <w:t xml:space="preserve"> 2010 with the release of by Saft </w:t>
      </w:r>
      <w:r w:rsidR="00A947B2">
        <w:t>l</w:t>
      </w:r>
      <w:r w:rsidRPr="00C95F78">
        <w:t xml:space="preserve">i-ion battery technology to be used at the heart of ABB’s new SVC Light concept for the Smart Grid. SVC has long been used to ensure power quality in industry, by reacting quickly to voltage sags by the use of capacitors for example.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By including </w:t>
      </w:r>
      <w:r w:rsidR="00392A26">
        <w:t>l</w:t>
      </w:r>
      <w:r w:rsidR="00392A26" w:rsidRPr="00C95F78">
        <w:t>i</w:t>
      </w:r>
      <w:r w:rsidRPr="00C95F78">
        <w:t>-ion battery storage, ABB will be able to provide much greater additional power over much longer duration. As well as serving industry, the approach promises to alleviate many of the concerns related to the addition of wind power and solar energy generation to existing grids, by levelling out intermittent production and supporting demand response. The first trial installation is underway in part of the UK distribution grid, used alongside nearby wind generation. Commissioning is due later in 2010.</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The Saft </w:t>
      </w:r>
      <w:r w:rsidR="00392A26">
        <w:t>l</w:t>
      </w:r>
      <w:r w:rsidR="00392A26" w:rsidRPr="00C95F78">
        <w:t>i</w:t>
      </w:r>
      <w:r w:rsidR="005016D7">
        <w:t>-ion battery system is scal</w:t>
      </w:r>
      <w:r w:rsidRPr="00C95F78">
        <w:t>able. Currently, rated power and capacity are typic</w:t>
      </w:r>
      <w:r w:rsidR="00CF6494">
        <w:t>ally in the range of 20 MW for “</w:t>
      </w:r>
      <w:r w:rsidRPr="00C95F78">
        <w:t>tens of minutes</w:t>
      </w:r>
      <w:r w:rsidR="00CF6494">
        <w:t>”</w:t>
      </w:r>
      <w:r w:rsidRPr="00C95F78">
        <w:t>. However, the company states that up to 50 MW for 60 minutes and beyond is possible.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If </w:t>
      </w:r>
      <w:r w:rsidR="005016D7">
        <w:t>such high energy and power scal</w:t>
      </w:r>
      <w:r w:rsidRPr="00C95F78">
        <w:t xml:space="preserve">able </w:t>
      </w:r>
      <w:r w:rsidR="00392A26">
        <w:t>l</w:t>
      </w:r>
      <w:r w:rsidR="00392A26" w:rsidRPr="00C95F78">
        <w:t>i</w:t>
      </w:r>
      <w:r w:rsidRPr="00C95F78">
        <w:t xml:space="preserve">-ion battery systems become proven technology, and cheap, the market potential is huge. This potential could be realised alongside </w:t>
      </w:r>
      <w:r w:rsidR="0074178D">
        <w:t>distributed</w:t>
      </w:r>
      <w:r w:rsidRPr="00C95F78">
        <w:t xml:space="preserve"> generation that is currently linked into the network, micro-generation systems that are not, and also to ensure power quality in industrial applications and self-contained community electricity networks.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Just how quickly this market develops will depend on cost. According to the co-founder of </w:t>
      </w:r>
      <w:r w:rsidR="00392A26">
        <w:t>l</w:t>
      </w:r>
      <w:r w:rsidR="00392A26" w:rsidRPr="00C95F78">
        <w:t>i</w:t>
      </w:r>
      <w:r w:rsidRPr="00C95F78">
        <w:t xml:space="preserve">-ion battery company A123 </w:t>
      </w:r>
      <w:r w:rsidR="00392A26" w:rsidRPr="00C95F78">
        <w:t>Systems</w:t>
      </w:r>
      <w:r w:rsidR="005643F9">
        <w:t>,</w:t>
      </w:r>
      <w:r w:rsidR="00CF6494">
        <w:t xml:space="preserve"> </w:t>
      </w:r>
      <w:r w:rsidRPr="00C95F78">
        <w:t>"Buying power at night and</w:t>
      </w:r>
      <w:r w:rsidR="00CF6494">
        <w:t xml:space="preserve"> then selling it during the day</w:t>
      </w:r>
      <w:r w:rsidR="005643F9">
        <w:t xml:space="preserve"> </w:t>
      </w:r>
      <w:r w:rsidRPr="00C95F78">
        <w:t>-</w:t>
      </w:r>
      <w:r w:rsidR="005643F9">
        <w:t xml:space="preserve"> </w:t>
      </w:r>
      <w:r w:rsidRPr="00C95F78">
        <w:t xml:space="preserve">something like that will happen maybe in 30 or 40 years when storage technologies are one-tenth the costs they are today". We need to look closely at large </w:t>
      </w:r>
      <w:r w:rsidR="00392A26">
        <w:t>l</w:t>
      </w:r>
      <w:r w:rsidR="00392A26" w:rsidRPr="00C95F78">
        <w:t>i</w:t>
      </w:r>
      <w:r w:rsidRPr="00C95F78">
        <w:t>-ion battery price trends.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rPr>
          <w:b/>
        </w:rPr>
        <w:t xml:space="preserve">Fuel Cells: </w:t>
      </w:r>
      <w:r w:rsidRPr="00C95F78">
        <w:t xml:space="preserve">It has long been the case that fuel cells have been “about to be fully commercialised”. This technology, based on the conversion of stored hydrogen into electricity, is efficient and </w:t>
      </w:r>
      <w:r w:rsidR="0074178D">
        <w:t>scalable</w:t>
      </w:r>
      <w:r w:rsidRPr="00C95F78">
        <w:t xml:space="preserve">, with the potential for very high power and energy output. Yet, the market for fuel cells remains small and there appears to be no imminent prospect of it taking off. </w:t>
      </w:r>
      <w:r w:rsidR="00392A26">
        <w:t>A</w:t>
      </w:r>
      <w:r w:rsidR="00392A26" w:rsidRPr="00C95F78">
        <w:t xml:space="preserve">t </w:t>
      </w:r>
      <w:r w:rsidRPr="00C95F78">
        <w:t>present, fuel cells are just too expensive.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In our automotive forecasts in Section 2 we have taken the view that, in this sector at least, fuel cells will become commercial in the latter half of this decade, creating a market for around 500,000 vehicles per year by 2020. This reflects the consensus that fuel cells will become very much cheaper, but some see full commercialisation being further off.</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If fuels cells do become fully commercial, the potential is much broader than purely the automotive market. They could have an important role in electricity generation to supplement power from the electricity grid. Systems are expected to be small, with capacity at around 2 MW for electricity-only systems and up to 10 MW for combined heat and power systems. This constitutes the so-called stationary fuel cell market. Another market area for fuel cells is for use in small hand-held devices.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Three types of stationary and automotive fuel cells are recognised. These are the proton exchange membrane fuel cells (PEMFCs), molten carbonate fuel cells (MCFCs), and solid oxide fuel cells (SOFCs). PEMFC is the most widely researched, and preferred by both the automotive industry as well as stationary power generators, as it operates at relatively low temperatures.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rPr>
          <w:b/>
        </w:rPr>
        <w:t xml:space="preserve">Other Bulk Storage Options for the Electricity Grid: </w:t>
      </w:r>
      <w:r w:rsidRPr="00C95F78">
        <w:t xml:space="preserve">As indicated above, ABB and Saft are developing the </w:t>
      </w:r>
      <w:r w:rsidR="00392A26">
        <w:t>l</w:t>
      </w:r>
      <w:r w:rsidR="00392A26" w:rsidRPr="00C95F78">
        <w:t>i</w:t>
      </w:r>
      <w:r w:rsidRPr="00C95F78">
        <w:t>-Ion battery as a commer</w:t>
      </w:r>
      <w:r w:rsidR="00847CDB">
        <w:t>cial option for the so called “b</w:t>
      </w:r>
      <w:r w:rsidRPr="00C95F78">
        <w:t xml:space="preserve">ulk storage” </w:t>
      </w:r>
      <w:r w:rsidRPr="00847CDB">
        <w:t>ma</w:t>
      </w:r>
      <w:r w:rsidR="00847CDB">
        <w:t>rket for the electric utilities Bilk storage may be</w:t>
      </w:r>
      <w:r w:rsidRPr="00847CDB">
        <w:t xml:space="preserve"> defined as storage capable of supplying electricity to the grid for more than one hour. Build storage capability will allow the electric utilities to provide additional power during periods of the d</w:t>
      </w:r>
      <w:r w:rsidRPr="00C95F78">
        <w:t xml:space="preserve">ay when it is needed most from stored energy. The technologies competing in this area include </w:t>
      </w:r>
      <w:r w:rsidRPr="00C95F78">
        <w:rPr>
          <w:b/>
        </w:rPr>
        <w:t>flow batteries</w:t>
      </w:r>
      <w:r w:rsidRPr="00C95F78">
        <w:t xml:space="preserve"> and </w:t>
      </w:r>
      <w:r w:rsidRPr="00C95F78">
        <w:rPr>
          <w:b/>
        </w:rPr>
        <w:t>compressed air storage</w:t>
      </w:r>
      <w:r w:rsidRPr="00C95F78">
        <w:t xml:space="preserve">. </w:t>
      </w:r>
    </w:p>
    <w:p w:rsidR="005A48E2" w:rsidRPr="00C95F78" w:rsidRDefault="005A48E2" w:rsidP="00BB1A5E">
      <w:pPr>
        <w:spacing w:after="0" w:line="240" w:lineRule="auto"/>
        <w:contextualSpacing/>
        <w:jc w:val="both"/>
        <w:rPr>
          <w:b/>
        </w:rPr>
      </w:pPr>
    </w:p>
    <w:p w:rsidR="005A48E2" w:rsidRPr="00C95F78" w:rsidRDefault="005A48E2" w:rsidP="00BB1A5E">
      <w:pPr>
        <w:spacing w:after="0" w:line="240" w:lineRule="auto"/>
        <w:contextualSpacing/>
        <w:jc w:val="both"/>
      </w:pPr>
      <w:r w:rsidRPr="00C95F78">
        <w:t>Flow batteries, where liquid chemicals move between huge storage tanks to deliver a charge, are currently being tested for use in the grid in the United States. Start-up Deeya Energy claims that it is developing a flow battery for grid backup power or to integrate wind and solar power capable of delivering up to 2 MW of electricity (although most systems are likely to be much smaller), with a release of charge for between 2 hours and 24 hours. It claims that the product will be much cheaper than Li-ion or fuel cell alternatives.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For the compressed air solution, General Compression is developing a wind turbine with an integrated air compressor. The system compresses air, which is then pumped underground into geological features like depleted gas wells or limestone caverns. Released air can then be used to generate electricity. There are currently two compressed air energy storage (CAES) plants in operation in the United States, with a few others in development.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rPr>
          <w:b/>
        </w:rPr>
        <w:t xml:space="preserve">Ultra-capacitors: </w:t>
      </w:r>
      <w:r w:rsidRPr="00C95F78">
        <w:t>An ultra-capacitor is a device able to store a large amount of charge (energy) that can be released very quickly, in a small package. It is suitable for short term, high-energy applications, such as when an appliance is switched o, when an electric car accelerates or, on a larger scale, compensating for low power quality in the industrial plant or even the electricity grid.</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Ultra-capacitors offer the following benefits:</w:t>
      </w:r>
    </w:p>
    <w:p w:rsidR="005A48E2" w:rsidRPr="00C95F78" w:rsidRDefault="005A48E2" w:rsidP="00BB1A5E">
      <w:pPr>
        <w:spacing w:after="0" w:line="240" w:lineRule="auto"/>
        <w:contextualSpacing/>
        <w:jc w:val="both"/>
      </w:pPr>
    </w:p>
    <w:p w:rsidR="005A48E2" w:rsidRPr="00C95F78" w:rsidRDefault="005A48E2" w:rsidP="00BB1A5E">
      <w:pPr>
        <w:pStyle w:val="ListParagraph"/>
        <w:numPr>
          <w:ilvl w:val="0"/>
          <w:numId w:val="25"/>
        </w:numPr>
        <w:spacing w:after="120" w:line="240" w:lineRule="auto"/>
        <w:ind w:left="714" w:hanging="357"/>
        <w:contextualSpacing w:val="0"/>
        <w:jc w:val="both"/>
      </w:pPr>
      <w:r w:rsidRPr="00C95F78">
        <w:t>They can be recharged very quickly.</w:t>
      </w:r>
    </w:p>
    <w:p w:rsidR="005A48E2" w:rsidRPr="00C95F78" w:rsidRDefault="005A48E2" w:rsidP="00BB1A5E">
      <w:pPr>
        <w:pStyle w:val="ListParagraph"/>
        <w:numPr>
          <w:ilvl w:val="0"/>
          <w:numId w:val="25"/>
        </w:numPr>
        <w:spacing w:after="120" w:line="240" w:lineRule="auto"/>
        <w:ind w:left="714" w:hanging="357"/>
        <w:contextualSpacing w:val="0"/>
        <w:jc w:val="both"/>
      </w:pPr>
      <w:r w:rsidRPr="00C95F78">
        <w:t>When fitted alongside a battery can extend battery life by up to five times by 'levelling out' high power demands on the battery.</w:t>
      </w:r>
    </w:p>
    <w:p w:rsidR="005A48E2" w:rsidRPr="00C95F78" w:rsidRDefault="005A48E2" w:rsidP="00BB1A5E">
      <w:pPr>
        <w:pStyle w:val="ListParagraph"/>
        <w:numPr>
          <w:ilvl w:val="0"/>
          <w:numId w:val="25"/>
        </w:numPr>
        <w:spacing w:after="120" w:line="240" w:lineRule="auto"/>
        <w:ind w:left="714" w:hanging="357"/>
        <w:contextualSpacing w:val="0"/>
        <w:jc w:val="both"/>
      </w:pPr>
      <w:r w:rsidRPr="00C95F78">
        <w:t>They can be manufactured in any size and shape.</w:t>
      </w:r>
    </w:p>
    <w:p w:rsidR="005A48E2" w:rsidRPr="00C95F78" w:rsidRDefault="005A48E2" w:rsidP="00BB1A5E">
      <w:pPr>
        <w:pStyle w:val="ListParagraph"/>
        <w:numPr>
          <w:ilvl w:val="0"/>
          <w:numId w:val="25"/>
        </w:numPr>
        <w:spacing w:after="120" w:line="240" w:lineRule="auto"/>
        <w:ind w:left="714" w:hanging="357"/>
        <w:contextualSpacing w:val="0"/>
        <w:jc w:val="both"/>
      </w:pPr>
      <w:r w:rsidRPr="00C95F78">
        <w:t xml:space="preserve">They can be retrofitted onto existing designs. </w:t>
      </w:r>
    </w:p>
    <w:p w:rsidR="005A48E2" w:rsidRPr="00C95F78" w:rsidRDefault="005A48E2" w:rsidP="00BB1A5E">
      <w:pPr>
        <w:pStyle w:val="ListParagraph"/>
        <w:numPr>
          <w:ilvl w:val="0"/>
          <w:numId w:val="25"/>
        </w:numPr>
        <w:spacing w:after="0" w:line="240" w:lineRule="auto"/>
        <w:jc w:val="both"/>
      </w:pPr>
      <w:r w:rsidRPr="00C95F78">
        <w:t>Ultra-capacitors allow manufacturers to use smaller, lighter and cheaper batteries.</w:t>
      </w:r>
    </w:p>
    <w:p w:rsidR="005A48E2" w:rsidRPr="00C95F78" w:rsidRDefault="005A48E2" w:rsidP="00BB1A5E">
      <w:pPr>
        <w:spacing w:after="0" w:line="240" w:lineRule="auto"/>
        <w:jc w:val="both"/>
      </w:pPr>
    </w:p>
    <w:p w:rsidR="005A48E2" w:rsidRPr="00C95F78" w:rsidRDefault="005A48E2" w:rsidP="00BB1A5E">
      <w:pPr>
        <w:spacing w:after="0" w:line="240" w:lineRule="auto"/>
        <w:jc w:val="both"/>
      </w:pPr>
      <w:r w:rsidRPr="00C95F78">
        <w:t>Where used in an electric utility setting, ultra-capacitors work and the opposite end of the market spectrum to the bulk storage options discussed above. Ultra-capacitors have their role in grid stabilisation, allowing power quality to be maintained in the event of a short term voltage drop or failure. This is an established market, currently dominated by banks of lead acid batteries. The need for grid support, however, is set to increase with the integration of distributed power into the system.</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Much smaller ultra-capacitors will have a growing role in the automotive market. </w:t>
      </w:r>
      <w:r w:rsidR="0004044A">
        <w:t>T</w:t>
      </w:r>
      <w:r w:rsidR="0004044A" w:rsidRPr="00C95F78">
        <w:t xml:space="preserve">he </w:t>
      </w:r>
      <w:r w:rsidRPr="00C95F78">
        <w:t>ability to provide surge power during acceleration could extend the life of a traditional lead acid battery by up to four times. A similar role in supplementing battery power and extending battery life is also envisaged for li-ion batteries in hybrid and electric vehicles. As well as extending battery life, ultra-capacitors could be used to extend to operating range of battery powered vehicles.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rPr>
          <w:b/>
        </w:rPr>
        <w:t xml:space="preserve">Flywheels: </w:t>
      </w:r>
      <w:r w:rsidRPr="00C95F78">
        <w:t xml:space="preserve">Flywheels have been developed for storage and power quality applications. They are capable of frequent and fast charge/discharge cycles and producing high power output for short duration (1-30 seconds). </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There are two basic types. Low speed flywheels (1800-3600 rpm) consist of a mass flywheel and optional power electronics for conversations between DC and AC voltages, thus replacing an inverter. High speed flywheels (&gt;30,000 rpm) rely on magnetic bearings, vacuum chambers and a permanent magnet motor/generator to provide high efficiency operation and high energy density storage capability. The latter, therefore, is more important as an energy storage device.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Like ultra-capacitors, high speed flywheels find their strongest market niche in situations where burst of power are required for short periods. In the case of flywheels, the period is often very short, less than 15 seconds. The capability of high speed flywheels to provide immediate electric power gives then a strong role in critical uninterruptible power supply (UPS) applications, for example in data centres. They do, however, have an important potential role in electricity grid stabilisation and also in conjunction with modern road vehicle designs, to some extent competing with ultra-capacitors.</w:t>
      </w:r>
    </w:p>
    <w:p w:rsidR="005A48E2" w:rsidRPr="00C95F78" w:rsidRDefault="005A48E2" w:rsidP="00BB1A5E">
      <w:pPr>
        <w:spacing w:after="0" w:line="240" w:lineRule="auto"/>
        <w:contextualSpacing/>
        <w:jc w:val="both"/>
      </w:pPr>
    </w:p>
    <w:p w:rsidR="005A48E2" w:rsidRPr="00256D0C" w:rsidRDefault="005A48E2"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47" w:name="_Toc262736964"/>
      <w:bookmarkStart w:id="248" w:name="_Toc263688626"/>
      <w:r w:rsidRPr="00256D0C">
        <w:rPr>
          <w:rFonts w:asciiTheme="minorHAnsi" w:hAnsiTheme="minorHAnsi"/>
          <w:color w:val="365F91" w:themeColor="accent1" w:themeShade="BF"/>
          <w:sz w:val="26"/>
          <w:szCs w:val="26"/>
        </w:rPr>
        <w:t>Market Forecasts by Sector</w:t>
      </w:r>
      <w:bookmarkEnd w:id="247"/>
      <w:bookmarkEnd w:id="248"/>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The energy storage market is too fragmented for it to be possible to make a realistic estimate of its size and growth path. It is clear, however, that this is a market area that is set to see exceptionally rapid growth, especially in areas relating to the automotive market and the electricity grid. Not all energy storage applications are in themselves huge consumers of copper, although there is usually a large amount of copper relating to their use, but energy storage is a key enabling technology. Without the anticipated developments in energy storage, many of the emerging markets for copper would not be possible.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Taking batteries, the importance of the new </w:t>
      </w:r>
      <w:r w:rsidR="006774FB">
        <w:t>markets is immediately apparent</w:t>
      </w:r>
      <w:r w:rsidRPr="00C95F78">
        <w:t xml:space="preserve">. </w:t>
      </w:r>
      <w:r w:rsidR="0004044A">
        <w:t>F</w:t>
      </w:r>
      <w:r w:rsidR="0004044A" w:rsidRPr="00C95F78">
        <w:t xml:space="preserve">or </w:t>
      </w:r>
      <w:r w:rsidRPr="00C95F78">
        <w:t>2005, Freedonia calculates th</w:t>
      </w:r>
      <w:r w:rsidR="005E4FD7">
        <w:t>e overall battery market at US$</w:t>
      </w:r>
      <w:r w:rsidRPr="00C95F78">
        <w:t xml:space="preserve">53 billion. Then, looking at Li-ion batteries in automotive applications alone; for 2020 we conservatively forecast 16 million hybrid and fully electric vehicles being sold. If each has a </w:t>
      </w:r>
      <w:r w:rsidR="00A947B2">
        <w:t>l</w:t>
      </w:r>
      <w:r w:rsidRPr="00C95F78">
        <w:t>i-ion battery, and the cost of per unit has gone down to US$5,000, this alone would creat</w:t>
      </w:r>
      <w:r w:rsidR="005E4FD7">
        <w:t>e a market of US$80 billion (i.</w:t>
      </w:r>
      <w:r w:rsidRPr="00C95F78">
        <w:t>e. one and a half times the size of the total battery market in 2005).</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We have indicated that large Li-ion batteries also may come to have a large role in the electricity grid. This is likely to be at a fairly early stage by 2020, indicating that there is further potential growth in this market even if HEVs, PHEVs and BEVs start to be superseded by FCEVs.</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While huge potential is seen for large Li-ion batteries, it is possible that other battery technologies may come to take on some of its role. Zinc-air batteri</w:t>
      </w:r>
      <w:r w:rsidR="00BC4F7B">
        <w:t>e</w:t>
      </w:r>
      <w:r w:rsidRPr="00C95F78">
        <w:t>s, for example, have been quoted as one alternative. Fears have been expressed over the security of supply of lithium, Bolivia being the country with the largest proven reserves. Car company Ford, however, recently made assurances that alternative, more reliable, lithium sources were available.</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pPr>
      <w:r w:rsidRPr="00C95F78">
        <w:t xml:space="preserve">In the analysis above, we indicate that fuel cells are expected to have an important market position by 2020. Assuming that vehicle fuel cell costs are the same as Li-ion batteries, this would suggest a market of around US$2.5 billion by 2020. Other applications are likely to double this figure. For fuel cells, development up to 2020 is thought to be only the beginning, with the real take off in this market coming somewhat later. </w:t>
      </w:r>
    </w:p>
    <w:p w:rsidR="00BC4F7B" w:rsidRPr="00C95F78" w:rsidRDefault="00BC4F7B" w:rsidP="00BB1A5E">
      <w:pPr>
        <w:spacing w:after="0" w:line="240" w:lineRule="auto"/>
        <w:contextualSpacing/>
        <w:jc w:val="both"/>
      </w:pPr>
    </w:p>
    <w:p w:rsidR="005A48E2" w:rsidRDefault="005A48E2" w:rsidP="00CD78AF">
      <w:pPr>
        <w:pStyle w:val="Caption"/>
        <w:spacing w:after="0"/>
        <w:ind w:left="567"/>
        <w:contextualSpacing/>
        <w:jc w:val="center"/>
        <w:rPr>
          <w:sz w:val="28"/>
          <w:szCs w:val="28"/>
        </w:rPr>
      </w:pPr>
      <w:bookmarkStart w:id="249" w:name="_Toc263671779"/>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125</w:t>
      </w:r>
      <w:r w:rsidR="00D50FDC" w:rsidRPr="00C95F78">
        <w:rPr>
          <w:sz w:val="28"/>
          <w:szCs w:val="28"/>
        </w:rPr>
        <w:fldChar w:fldCharType="end"/>
      </w:r>
      <w:r w:rsidRPr="00C95F78">
        <w:rPr>
          <w:sz w:val="28"/>
          <w:szCs w:val="28"/>
        </w:rPr>
        <w:t>: Possible Development Path for Fuel Cells</w:t>
      </w:r>
      <w:bookmarkEnd w:id="249"/>
    </w:p>
    <w:p w:rsidR="00B4792A" w:rsidRPr="00B4792A" w:rsidRDefault="00B4792A" w:rsidP="00B4792A">
      <w:pPr>
        <w:rPr>
          <w:sz w:val="2"/>
          <w:szCs w:val="2"/>
        </w:rPr>
      </w:pPr>
    </w:p>
    <w:p w:rsidR="005A48E2" w:rsidRPr="00C95F78" w:rsidRDefault="005A48E2" w:rsidP="00CD78AF">
      <w:pPr>
        <w:spacing w:after="0" w:line="240" w:lineRule="auto"/>
        <w:contextualSpacing/>
        <w:jc w:val="center"/>
      </w:pPr>
      <w:r w:rsidRPr="00C95F78">
        <w:rPr>
          <w:noProof/>
          <w:lang w:val="en-US"/>
        </w:rPr>
        <w:drawing>
          <wp:inline distT="0" distB="0" distL="0" distR="0">
            <wp:extent cx="5831840" cy="3633821"/>
            <wp:effectExtent l="19050" t="0" r="0" b="0"/>
            <wp:docPr id="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cstate="print"/>
                    <a:srcRect/>
                    <a:stretch>
                      <a:fillRect/>
                    </a:stretch>
                  </pic:blipFill>
                  <pic:spPr bwMode="auto">
                    <a:xfrm>
                      <a:off x="0" y="0"/>
                      <a:ext cx="5831840" cy="3633821"/>
                    </a:xfrm>
                    <a:prstGeom prst="rect">
                      <a:avLst/>
                    </a:prstGeom>
                    <a:noFill/>
                    <a:ln w="9525">
                      <a:noFill/>
                      <a:miter lim="800000"/>
                      <a:headEnd/>
                      <a:tailEnd/>
                    </a:ln>
                  </pic:spPr>
                </pic:pic>
              </a:graphicData>
            </a:graphic>
          </wp:inline>
        </w:drawing>
      </w:r>
    </w:p>
    <w:p w:rsidR="005A48E2" w:rsidRPr="00C95F78" w:rsidRDefault="005A48E2" w:rsidP="00CD78AF">
      <w:pPr>
        <w:pStyle w:val="Caption"/>
        <w:spacing w:after="0"/>
        <w:ind w:left="567"/>
        <w:contextualSpacing/>
        <w:jc w:val="center"/>
        <w:rPr>
          <w:sz w:val="28"/>
          <w:szCs w:val="28"/>
        </w:rPr>
      </w:pPr>
      <w:bookmarkStart w:id="250" w:name="_Ref263249802"/>
      <w:bookmarkStart w:id="251" w:name="_Toc263671780"/>
      <w:r w:rsidRPr="00C95F78">
        <w:rPr>
          <w:sz w:val="28"/>
          <w:szCs w:val="28"/>
        </w:rPr>
        <w:t xml:space="preserve">Figure </w:t>
      </w:r>
      <w:r w:rsidR="00D50FDC" w:rsidRPr="00C95F78">
        <w:rPr>
          <w:sz w:val="28"/>
          <w:szCs w:val="28"/>
        </w:rPr>
        <w:fldChar w:fldCharType="begin"/>
      </w:r>
      <w:r w:rsidRPr="00C95F78">
        <w:rPr>
          <w:sz w:val="28"/>
          <w:szCs w:val="28"/>
        </w:rPr>
        <w:instrText xml:space="preserve"> SEQ Figure \* ARABIC </w:instrText>
      </w:r>
      <w:r w:rsidR="00D50FDC" w:rsidRPr="00C95F78">
        <w:rPr>
          <w:sz w:val="28"/>
          <w:szCs w:val="28"/>
        </w:rPr>
        <w:fldChar w:fldCharType="separate"/>
      </w:r>
      <w:r w:rsidR="0005759A">
        <w:rPr>
          <w:noProof/>
          <w:sz w:val="28"/>
          <w:szCs w:val="28"/>
        </w:rPr>
        <w:t>126</w:t>
      </w:r>
      <w:r w:rsidR="00D50FDC" w:rsidRPr="00C95F78">
        <w:rPr>
          <w:sz w:val="28"/>
          <w:szCs w:val="28"/>
        </w:rPr>
        <w:fldChar w:fldCharType="end"/>
      </w:r>
      <w:bookmarkEnd w:id="250"/>
      <w:r w:rsidRPr="00C95F78">
        <w:rPr>
          <w:sz w:val="28"/>
          <w:szCs w:val="28"/>
        </w:rPr>
        <w:t>: Forecast Copper in Emerging Energy Storage Markets (kt Cu)</w:t>
      </w:r>
      <w:bookmarkEnd w:id="251"/>
    </w:p>
    <w:p w:rsidR="005A48E2" w:rsidRPr="00C95F78" w:rsidRDefault="005A48E2" w:rsidP="00BB1A5E">
      <w:pPr>
        <w:spacing w:after="0" w:line="240" w:lineRule="auto"/>
        <w:contextualSpacing/>
        <w:jc w:val="both"/>
      </w:pPr>
    </w:p>
    <w:p w:rsidR="005A48E2" w:rsidRPr="00C95F78" w:rsidRDefault="005A48E2" w:rsidP="00BB1A5E">
      <w:pPr>
        <w:autoSpaceDE w:val="0"/>
        <w:autoSpaceDN w:val="0"/>
        <w:adjustRightInd w:val="0"/>
        <w:spacing w:after="0" w:line="240" w:lineRule="auto"/>
        <w:contextualSpacing/>
        <w:jc w:val="both"/>
      </w:pPr>
      <w:r w:rsidRPr="00C95F78">
        <w:rPr>
          <w:noProof/>
          <w:lang w:val="en-US"/>
        </w:rPr>
        <w:drawing>
          <wp:inline distT="0" distB="0" distL="0" distR="0">
            <wp:extent cx="5831840" cy="8187204"/>
            <wp:effectExtent l="19050" t="0" r="0" b="0"/>
            <wp:docPr id="1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 cstate="print"/>
                    <a:srcRect/>
                    <a:stretch>
                      <a:fillRect/>
                    </a:stretch>
                  </pic:blipFill>
                  <pic:spPr bwMode="auto">
                    <a:xfrm>
                      <a:off x="0" y="0"/>
                      <a:ext cx="5831840" cy="8187204"/>
                    </a:xfrm>
                    <a:prstGeom prst="rect">
                      <a:avLst/>
                    </a:prstGeom>
                    <a:noFill/>
                    <a:ln w="9525">
                      <a:noFill/>
                      <a:miter lim="800000"/>
                      <a:headEnd/>
                      <a:tailEnd/>
                    </a:ln>
                  </pic:spPr>
                </pic:pic>
              </a:graphicData>
            </a:graphic>
          </wp:inline>
        </w:drawing>
      </w:r>
    </w:p>
    <w:p w:rsidR="005A48E2" w:rsidRPr="00C95F78" w:rsidRDefault="005A48E2" w:rsidP="00BB1A5E">
      <w:pPr>
        <w:spacing w:line="240" w:lineRule="auto"/>
        <w:jc w:val="both"/>
        <w:rPr>
          <w:b/>
          <w:color w:val="365F91" w:themeColor="accent1" w:themeShade="BF"/>
          <w:sz w:val="24"/>
          <w:szCs w:val="24"/>
        </w:rPr>
      </w:pPr>
      <w:r w:rsidRPr="00C95F78">
        <w:rPr>
          <w:b/>
          <w:color w:val="365F91" w:themeColor="accent1" w:themeShade="BF"/>
          <w:sz w:val="24"/>
          <w:szCs w:val="24"/>
        </w:rPr>
        <w:br w:type="page"/>
      </w:r>
    </w:p>
    <w:p w:rsidR="00BC4F7B" w:rsidRPr="00C95F78" w:rsidRDefault="00BC4F7B" w:rsidP="00BB1A5E">
      <w:pPr>
        <w:spacing w:after="0" w:line="240" w:lineRule="auto"/>
        <w:contextualSpacing/>
        <w:jc w:val="both"/>
      </w:pPr>
      <w:r w:rsidRPr="00C95F78">
        <w:t>Other bulk storage devices, and short term supply devices such as ultra-capacitors and high speed flywheels are also set to show a dramatic increase in market size in coming years.</w:t>
      </w:r>
    </w:p>
    <w:p w:rsidR="00BC4F7B" w:rsidRPr="00C95F78" w:rsidRDefault="00BC4F7B" w:rsidP="00BB1A5E">
      <w:pPr>
        <w:spacing w:after="0" w:line="240" w:lineRule="auto"/>
        <w:contextualSpacing/>
        <w:jc w:val="both"/>
      </w:pPr>
    </w:p>
    <w:p w:rsidR="00BC4F7B" w:rsidRPr="00256D0C" w:rsidRDefault="00BC4F7B" w:rsidP="00BB1A5E">
      <w:pPr>
        <w:pStyle w:val="Heading3"/>
        <w:numPr>
          <w:ilvl w:val="2"/>
          <w:numId w:val="1"/>
        </w:numPr>
        <w:spacing w:before="0" w:line="240" w:lineRule="auto"/>
        <w:ind w:left="0" w:firstLine="0"/>
        <w:contextualSpacing/>
        <w:jc w:val="both"/>
        <w:rPr>
          <w:rFonts w:asciiTheme="minorHAnsi" w:hAnsiTheme="minorHAnsi"/>
          <w:color w:val="365F91" w:themeColor="accent1" w:themeShade="BF"/>
          <w:sz w:val="26"/>
          <w:szCs w:val="26"/>
        </w:rPr>
      </w:pPr>
      <w:bookmarkStart w:id="252" w:name="_Toc262736965"/>
      <w:bookmarkStart w:id="253" w:name="_Toc263688627"/>
      <w:r w:rsidRPr="00256D0C">
        <w:rPr>
          <w:rFonts w:asciiTheme="minorHAnsi" w:hAnsiTheme="minorHAnsi"/>
          <w:color w:val="365F91" w:themeColor="accent1" w:themeShade="BF"/>
          <w:sz w:val="26"/>
          <w:szCs w:val="26"/>
        </w:rPr>
        <w:t>The Impact on Copper</w:t>
      </w:r>
      <w:bookmarkEnd w:id="252"/>
      <w:bookmarkEnd w:id="253"/>
    </w:p>
    <w:p w:rsidR="00BC4F7B" w:rsidRPr="00C95F78" w:rsidRDefault="00BC4F7B" w:rsidP="00BB1A5E">
      <w:pPr>
        <w:autoSpaceDE w:val="0"/>
        <w:autoSpaceDN w:val="0"/>
        <w:adjustRightInd w:val="0"/>
        <w:spacing w:after="0" w:line="240" w:lineRule="auto"/>
        <w:contextualSpacing/>
        <w:jc w:val="both"/>
      </w:pPr>
    </w:p>
    <w:p w:rsidR="00BC4F7B" w:rsidRDefault="00BC4F7B" w:rsidP="00BB1A5E">
      <w:pPr>
        <w:autoSpaceDE w:val="0"/>
        <w:autoSpaceDN w:val="0"/>
        <w:adjustRightInd w:val="0"/>
        <w:spacing w:after="0" w:line="240" w:lineRule="auto"/>
        <w:contextualSpacing/>
        <w:jc w:val="both"/>
      </w:pPr>
      <w:r w:rsidRPr="00C95F78">
        <w:t xml:space="preserve">With the market role of alternative technologies not yet fixed, and differences in the amount of copper that may be required depending on product specification within each technology, copper forecasts for energy storage can at best be indicative. In the forecasts provided in </w:t>
      </w:r>
      <w:r w:rsidR="003C7AEB">
        <w:fldChar w:fldCharType="begin"/>
      </w:r>
      <w:r w:rsidR="003C7AEB">
        <w:instrText xml:space="preserve"> REF _Ref263249802 \h  \* MERGEFORMAT </w:instrText>
      </w:r>
      <w:r w:rsidR="003C7AEB">
        <w:fldChar w:fldCharType="separate"/>
      </w:r>
      <w:r w:rsidR="0005759A" w:rsidRPr="0005759A">
        <w:t xml:space="preserve">Figure </w:t>
      </w:r>
      <w:r w:rsidR="0005759A" w:rsidRPr="0005759A">
        <w:rPr>
          <w:noProof/>
        </w:rPr>
        <w:t>126</w:t>
      </w:r>
      <w:r w:rsidR="003C7AEB">
        <w:fldChar w:fldCharType="end"/>
      </w:r>
      <w:r w:rsidRPr="00C95F78">
        <w:t xml:space="preserve"> we identify copper use associated with energy storage (including connections etc.) in the automotive and electricity infrastructure markets.</w:t>
      </w:r>
    </w:p>
    <w:p w:rsidR="0004044A" w:rsidRPr="00C95F78" w:rsidRDefault="0004044A" w:rsidP="00BB1A5E">
      <w:pPr>
        <w:autoSpaceDE w:val="0"/>
        <w:autoSpaceDN w:val="0"/>
        <w:adjustRightInd w:val="0"/>
        <w:spacing w:after="0" w:line="240" w:lineRule="auto"/>
        <w:contextualSpacing/>
        <w:jc w:val="both"/>
      </w:pPr>
    </w:p>
    <w:p w:rsidR="005A48E2" w:rsidRPr="00C95F78" w:rsidRDefault="005A48E2" w:rsidP="00BB1A5E">
      <w:pPr>
        <w:spacing w:after="0" w:line="240" w:lineRule="auto"/>
        <w:contextualSpacing/>
        <w:jc w:val="both"/>
      </w:pPr>
      <w:r w:rsidRPr="00C95F78">
        <w:t>In total, we forecast copper use in emerging energy storage markets rising from 1 kt to 29 kt globally between 2010 and 2020. Europe is expected to account for around 6 kt of the total. By far the largest segment indentified is for Li-ion batteries in automotive applications (separately referred to in Section 2 of this Report).</w:t>
      </w:r>
    </w:p>
    <w:p w:rsidR="005A48E2" w:rsidRPr="00C95F78" w:rsidRDefault="005A48E2" w:rsidP="00BB1A5E">
      <w:pPr>
        <w:spacing w:after="0" w:line="240" w:lineRule="auto"/>
        <w:contextualSpacing/>
        <w:jc w:val="both"/>
      </w:pPr>
    </w:p>
    <w:p w:rsidR="005A48E2" w:rsidRPr="00C95F78" w:rsidRDefault="005A48E2" w:rsidP="00BB1A5E">
      <w:pPr>
        <w:spacing w:after="0" w:line="240" w:lineRule="auto"/>
        <w:contextualSpacing/>
        <w:jc w:val="both"/>
        <w:rPr>
          <w:szCs w:val="20"/>
        </w:rPr>
      </w:pPr>
      <w:r w:rsidRPr="00C95F78">
        <w:rPr>
          <w:szCs w:val="20"/>
        </w:rPr>
        <w:t>In terms of fabricated product, the market will be dominated by products used in li-ion batteries, mainly strip and other current carrying elements within the battery, external buss bars and copper foil on anode terminals. A similar array of products will be used with fuel cells. Ultra-capacitors and high speed flywheels will incorporate winding wire and energy cable in their associated systems.</w:t>
      </w:r>
    </w:p>
    <w:sectPr w:rsidR="005A48E2" w:rsidRPr="00C95F78" w:rsidSect="006A5F5A">
      <w:type w:val="continuous"/>
      <w:pgSz w:w="11906" w:h="16838" w:code="9"/>
      <w:pgMar w:top="1474" w:right="1361" w:bottom="1247" w:left="1361" w:header="709" w:footer="709" w:gutter="0"/>
      <w:pgNumType w:fmt="numberInDash" w:start="10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AEB" w:rsidRDefault="003C7AEB" w:rsidP="00467EF4">
      <w:pPr>
        <w:spacing w:after="0" w:line="240" w:lineRule="auto"/>
      </w:pPr>
      <w:r>
        <w:separator/>
      </w:r>
    </w:p>
  </w:endnote>
  <w:endnote w:type="continuationSeparator" w:id="0">
    <w:p w:rsidR="003C7AEB" w:rsidRDefault="003C7AEB" w:rsidP="00467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ronicleTextG1-Roman">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HelveticaNeueLTCom-L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2913"/>
      <w:docPartObj>
        <w:docPartGallery w:val="Page Numbers (Bottom of Page)"/>
        <w:docPartUnique/>
      </w:docPartObj>
    </w:sdtPr>
    <w:sdtEndPr/>
    <w:sdtContent>
      <w:p w:rsidR="004D7103" w:rsidRDefault="003C7AEB">
        <w:pPr>
          <w:pStyle w:val="Footer"/>
          <w:jc w:val="center"/>
        </w:pPr>
        <w:r>
          <w:fldChar w:fldCharType="begin"/>
        </w:r>
        <w:r>
          <w:instrText xml:space="preserve"> PAGE   \* MERGEFORMAT </w:instrText>
        </w:r>
        <w:r>
          <w:fldChar w:fldCharType="separate"/>
        </w:r>
        <w:r w:rsidR="003D5055">
          <w:rPr>
            <w:noProof/>
          </w:rPr>
          <w:t>- 3 -</w:t>
        </w:r>
        <w:r>
          <w:rPr>
            <w:noProof/>
          </w:rPr>
          <w:fldChar w:fldCharType="end"/>
        </w:r>
      </w:p>
    </w:sdtContent>
  </w:sdt>
  <w:p w:rsidR="004D7103" w:rsidRDefault="004D7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AEB" w:rsidRDefault="003C7AEB" w:rsidP="00467EF4">
      <w:pPr>
        <w:spacing w:after="0" w:line="240" w:lineRule="auto"/>
      </w:pPr>
      <w:r>
        <w:separator/>
      </w:r>
    </w:p>
  </w:footnote>
  <w:footnote w:type="continuationSeparator" w:id="0">
    <w:p w:rsidR="003C7AEB" w:rsidRDefault="003C7AEB" w:rsidP="00467EF4">
      <w:pPr>
        <w:spacing w:after="0" w:line="240" w:lineRule="auto"/>
      </w:pPr>
      <w:r>
        <w:continuationSeparator/>
      </w:r>
    </w:p>
  </w:footnote>
  <w:footnote w:id="1">
    <w:p w:rsidR="004D7103" w:rsidRDefault="004D7103" w:rsidP="00F24E89">
      <w:pPr>
        <w:pStyle w:val="FootnoteText"/>
      </w:pPr>
      <w:r>
        <w:rPr>
          <w:rStyle w:val="FootnoteReference"/>
        </w:rPr>
        <w:footnoteRef/>
      </w:r>
      <w:r>
        <w:t xml:space="preserve"> PwC: Adopting Electric Vehicles-The role of technology and investment, October 2009</w:t>
      </w:r>
    </w:p>
  </w:footnote>
  <w:footnote w:id="2">
    <w:p w:rsidR="004D7103" w:rsidRDefault="004D7103" w:rsidP="00366AB8">
      <w:pPr>
        <w:pStyle w:val="FootnoteText"/>
      </w:pPr>
      <w:r>
        <w:rPr>
          <w:rStyle w:val="FootnoteReference"/>
        </w:rPr>
        <w:footnoteRef/>
      </w:r>
      <w:r>
        <w:t xml:space="preserve"> PwC: The automotive industry and climate change, September 2007</w:t>
      </w:r>
    </w:p>
  </w:footnote>
  <w:footnote w:id="3">
    <w:p w:rsidR="004D7103" w:rsidRDefault="004D7103">
      <w:pPr>
        <w:pStyle w:val="FootnoteText"/>
      </w:pPr>
      <w:r>
        <w:rPr>
          <w:rStyle w:val="FootnoteReference"/>
        </w:rPr>
        <w:footnoteRef/>
      </w:r>
      <w:r>
        <w:t xml:space="preserve"> BCG: The comeback of the electric car?</w:t>
      </w:r>
      <w:r w:rsidRPr="009D72DE">
        <w:t xml:space="preserve"> </w:t>
      </w:r>
      <w:r>
        <w:t>How real, how soon and what must happen next, 2009</w:t>
      </w:r>
    </w:p>
  </w:footnote>
  <w:footnote w:id="4">
    <w:p w:rsidR="004D7103" w:rsidRDefault="004D7103" w:rsidP="00FA4585">
      <w:pPr>
        <w:pStyle w:val="FootnoteText"/>
      </w:pPr>
      <w:r>
        <w:rPr>
          <w:rStyle w:val="FootnoteReference"/>
        </w:rPr>
        <w:footnoteRef/>
      </w:r>
      <w:r>
        <w:t xml:space="preserve"> BCG: The comeback of the electric car? How real, how soon and what must happen next, 2009</w:t>
      </w:r>
    </w:p>
  </w:footnote>
  <w:footnote w:id="5">
    <w:p w:rsidR="004D7103" w:rsidRDefault="004D7103">
      <w:pPr>
        <w:pStyle w:val="FootnoteText"/>
      </w:pPr>
      <w:r>
        <w:rPr>
          <w:rStyle w:val="FootnoteReference"/>
        </w:rPr>
        <w:footnoteRef/>
      </w:r>
      <w:r>
        <w:t xml:space="preserve"> Yazaki: Social and Environmental Report, 2009</w:t>
      </w:r>
    </w:p>
  </w:footnote>
  <w:footnote w:id="6">
    <w:p w:rsidR="004D7103" w:rsidRDefault="004D7103">
      <w:pPr>
        <w:pStyle w:val="FootnoteText"/>
      </w:pPr>
      <w:r>
        <w:rPr>
          <w:rStyle w:val="FootnoteReference"/>
        </w:rPr>
        <w:footnoteRef/>
      </w:r>
      <w:r>
        <w:t xml:space="preserve"> Electrification Coalition: Electrification Roadmap, 2009</w:t>
      </w:r>
    </w:p>
  </w:footnote>
  <w:footnote w:id="7">
    <w:p w:rsidR="004D7103" w:rsidRDefault="004D7103" w:rsidP="00781689">
      <w:pPr>
        <w:pStyle w:val="FootnoteText"/>
      </w:pPr>
      <w:r>
        <w:rPr>
          <w:rStyle w:val="FootnoteReference"/>
        </w:rPr>
        <w:footnoteRef/>
      </w:r>
      <w:r>
        <w:t xml:space="preserve"> Electrification Coalition: Electrification Roadmap, 2009</w:t>
      </w:r>
    </w:p>
  </w:footnote>
  <w:footnote w:id="8">
    <w:p w:rsidR="004D7103" w:rsidRDefault="004D7103">
      <w:pPr>
        <w:pStyle w:val="FootnoteText"/>
      </w:pPr>
      <w:r>
        <w:rPr>
          <w:rStyle w:val="FootnoteReference"/>
        </w:rPr>
        <w:footnoteRef/>
      </w:r>
      <w:r>
        <w:t xml:space="preserve"> Jean-Pierre Jooting: Power Electronics in Electric and Electric Hybrid Vehicles, 2009</w:t>
      </w:r>
    </w:p>
  </w:footnote>
  <w:footnote w:id="9">
    <w:p w:rsidR="004D7103" w:rsidRDefault="004D7103" w:rsidP="00D06EC5">
      <w:pPr>
        <w:pStyle w:val="FootnoteText"/>
      </w:pPr>
      <w:r>
        <w:rPr>
          <w:rStyle w:val="FootnoteReference"/>
        </w:rPr>
        <w:footnoteRef/>
      </w:r>
      <w:r>
        <w:t xml:space="preserve"> Thomas Stockmeier: From Packaging to Un-Packaging:-Trends in Power Semiconductor Modules, 2008</w:t>
      </w:r>
    </w:p>
  </w:footnote>
  <w:footnote w:id="10">
    <w:p w:rsidR="004D7103" w:rsidRPr="00E96F85" w:rsidRDefault="004D7103" w:rsidP="00C908AD">
      <w:pPr>
        <w:pStyle w:val="FootnoteText"/>
      </w:pPr>
      <w:r>
        <w:rPr>
          <w:rStyle w:val="FootnoteReference"/>
        </w:rPr>
        <w:footnoteRef/>
      </w:r>
      <w:r>
        <w:t xml:space="preserve"> GWEC: Global wind report, 2009</w:t>
      </w:r>
    </w:p>
  </w:footnote>
  <w:footnote w:id="11">
    <w:p w:rsidR="004D7103" w:rsidRPr="00E96F85" w:rsidRDefault="004D7103" w:rsidP="00C908AD">
      <w:pPr>
        <w:pStyle w:val="FootnoteText"/>
      </w:pPr>
      <w:r>
        <w:rPr>
          <w:rStyle w:val="FootnoteReference"/>
        </w:rPr>
        <w:footnoteRef/>
      </w:r>
      <w:r>
        <w:t xml:space="preserve"> GWEC: Global wind report, 2009</w:t>
      </w:r>
    </w:p>
  </w:footnote>
  <w:footnote w:id="12">
    <w:p w:rsidR="004D7103" w:rsidRDefault="004D7103" w:rsidP="00DC4DC4">
      <w:pPr>
        <w:pStyle w:val="FootnoteText"/>
      </w:pPr>
      <w:r>
        <w:rPr>
          <w:rStyle w:val="FootnoteReference"/>
        </w:rPr>
        <w:footnoteRef/>
      </w:r>
      <w:r>
        <w:t xml:space="preserve"> Leonardo Energy , </w:t>
      </w:r>
      <w:r w:rsidRPr="004F0EC3">
        <w:t>Opti</w:t>
      </w:r>
      <w:r>
        <w:t>mization of Cable Sizing in PV I</w:t>
      </w:r>
      <w:r w:rsidRPr="004F0EC3">
        <w:t>nstallations</w:t>
      </w:r>
      <w:r>
        <w:t>, 2009</w:t>
      </w:r>
    </w:p>
  </w:footnote>
  <w:footnote w:id="13">
    <w:p w:rsidR="004D7103" w:rsidRPr="005F761C" w:rsidRDefault="004D7103" w:rsidP="00B94DE3">
      <w:pPr>
        <w:pStyle w:val="FootnoteText"/>
      </w:pPr>
      <w:r>
        <w:rPr>
          <w:rStyle w:val="FootnoteReference"/>
        </w:rPr>
        <w:footnoteRef/>
      </w:r>
      <w:r>
        <w:t xml:space="preserve"> Shell: Technology Futures, 2007</w:t>
      </w:r>
    </w:p>
  </w:footnote>
  <w:footnote w:id="14">
    <w:p w:rsidR="004D7103" w:rsidRPr="00C253D8" w:rsidRDefault="004D7103" w:rsidP="00B94DE3">
      <w:pPr>
        <w:pStyle w:val="FootnoteText"/>
      </w:pPr>
      <w:r>
        <w:rPr>
          <w:rStyle w:val="FootnoteReference"/>
        </w:rPr>
        <w:footnoteRef/>
      </w:r>
      <w:r>
        <w:t xml:space="preserve"> </w:t>
      </w:r>
      <w:r w:rsidRPr="00C253D8">
        <w:t>Watt peak: nominal output at peak sunshine for a standardized solar spectrum and intensity</w:t>
      </w:r>
    </w:p>
  </w:footnote>
  <w:footnote w:id="15">
    <w:p w:rsidR="004D7103" w:rsidRPr="00402D66" w:rsidRDefault="004D7103" w:rsidP="00DB2B3E">
      <w:pPr>
        <w:pStyle w:val="FootnoteText"/>
      </w:pPr>
      <w:r>
        <w:rPr>
          <w:rStyle w:val="FootnoteReference"/>
        </w:rPr>
        <w:footnoteRef/>
      </w:r>
      <w:r>
        <w:t xml:space="preserve"> Nanosolar</w:t>
      </w:r>
    </w:p>
  </w:footnote>
  <w:footnote w:id="16">
    <w:p w:rsidR="004D7103" w:rsidRPr="00E152E2" w:rsidRDefault="004D7103" w:rsidP="00B94DE3">
      <w:pPr>
        <w:pStyle w:val="FootnoteText"/>
      </w:pPr>
      <w:r>
        <w:rPr>
          <w:rStyle w:val="FootnoteReference"/>
        </w:rPr>
        <w:footnoteRef/>
      </w:r>
      <w:r>
        <w:t xml:space="preserve"> Global Solar</w:t>
      </w:r>
    </w:p>
  </w:footnote>
  <w:footnote w:id="17">
    <w:p w:rsidR="004D7103" w:rsidRDefault="004D7103">
      <w:pPr>
        <w:pStyle w:val="FootnoteText"/>
      </w:pPr>
      <w:r>
        <w:rPr>
          <w:rStyle w:val="FootnoteReference"/>
        </w:rPr>
        <w:footnoteRef/>
      </w:r>
      <w:r>
        <w:t xml:space="preserve"> EPIA: Global Market Outlook for Photovoltaics until 2014, 2010</w:t>
      </w:r>
    </w:p>
  </w:footnote>
  <w:footnote w:id="18">
    <w:p w:rsidR="004D7103" w:rsidRPr="003448DA" w:rsidRDefault="004D7103" w:rsidP="00825DBB">
      <w:pPr>
        <w:pStyle w:val="FootnoteText"/>
      </w:pPr>
      <w:r>
        <w:rPr>
          <w:rStyle w:val="FootnoteReference"/>
        </w:rPr>
        <w:footnoteRef/>
      </w:r>
      <w:r>
        <w:t xml:space="preserve"> EPIA: Global Market Outlook for Photovoltaics until 2014, 2010</w:t>
      </w:r>
    </w:p>
  </w:footnote>
  <w:footnote w:id="19">
    <w:p w:rsidR="004D7103" w:rsidRPr="00136C96" w:rsidRDefault="004D7103" w:rsidP="00AC0F14">
      <w:pPr>
        <w:pStyle w:val="FootnoteText"/>
      </w:pPr>
      <w:r>
        <w:rPr>
          <w:rStyle w:val="FootnoteReference"/>
        </w:rPr>
        <w:footnoteRef/>
      </w:r>
      <w:r>
        <w:t xml:space="preserve"> Kema: Low Carbon Electricity Systems, September 2009</w:t>
      </w:r>
    </w:p>
  </w:footnote>
  <w:footnote w:id="20">
    <w:p w:rsidR="004D7103" w:rsidRDefault="004D7103" w:rsidP="007B697C">
      <w:pPr>
        <w:pStyle w:val="FootnoteText"/>
      </w:pPr>
      <w:r>
        <w:rPr>
          <w:rStyle w:val="FootnoteReference"/>
        </w:rPr>
        <w:footnoteRef/>
      </w:r>
      <w:r>
        <w:t xml:space="preserve"> </w:t>
      </w:r>
      <w:r w:rsidRPr="00D95D9A">
        <w:t>Prasanna Mohan and Laurel Donoho</w:t>
      </w:r>
      <w:r>
        <w:t>, 2009</w:t>
      </w:r>
    </w:p>
  </w:footnote>
  <w:footnote w:id="21">
    <w:p w:rsidR="004D7103" w:rsidRDefault="004D7103" w:rsidP="007B697C">
      <w:pPr>
        <w:pStyle w:val="FootnoteText"/>
      </w:pPr>
      <w:r>
        <w:rPr>
          <w:rStyle w:val="FootnoteReference"/>
        </w:rPr>
        <w:footnoteRef/>
      </w:r>
      <w:r>
        <w:t xml:space="preserve"> IDA, 2002</w:t>
      </w:r>
    </w:p>
  </w:footnote>
  <w:footnote w:id="22">
    <w:p w:rsidR="004D7103" w:rsidRDefault="004D7103" w:rsidP="007B697C">
      <w:pPr>
        <w:pStyle w:val="FootnoteText"/>
      </w:pPr>
      <w:r>
        <w:rPr>
          <w:rStyle w:val="FootnoteReference"/>
        </w:rPr>
        <w:footnoteRef/>
      </w:r>
      <w:r>
        <w:t xml:space="preserve"> </w:t>
      </w:r>
      <w:r w:rsidRPr="00D95D9A">
        <w:t>Prasanna Mohan and Laurel Donoho</w:t>
      </w:r>
      <w:r>
        <w:t>, 2009</w:t>
      </w:r>
    </w:p>
  </w:footnote>
  <w:footnote w:id="23">
    <w:p w:rsidR="004D7103" w:rsidRDefault="004D7103" w:rsidP="00D13525">
      <w:pPr>
        <w:pStyle w:val="FootnoteText"/>
      </w:pPr>
      <w:r>
        <w:rPr>
          <w:rStyle w:val="FootnoteReference"/>
        </w:rPr>
        <w:footnoteRef/>
      </w:r>
      <w:r>
        <w:t xml:space="preserve"> Climate Group, SMART 2020: Enabling the low carbon economy in the information age, 2009</w:t>
      </w:r>
    </w:p>
  </w:footnote>
  <w:footnote w:id="24">
    <w:p w:rsidR="004D7103" w:rsidRDefault="004D7103" w:rsidP="00EB593D">
      <w:pPr>
        <w:pStyle w:val="FootnoteText"/>
        <w:jc w:val="both"/>
      </w:pPr>
      <w:r>
        <w:rPr>
          <w:rStyle w:val="FootnoteReference"/>
        </w:rPr>
        <w:footnoteRef/>
      </w:r>
      <w:r>
        <w:t xml:space="preserve"> M. </w:t>
      </w:r>
      <w:r w:rsidRPr="002D746B">
        <w:t>Jeroense</w:t>
      </w:r>
      <w:r>
        <w:t>n</w:t>
      </w:r>
      <w:r w:rsidRPr="002D746B">
        <w:t>, A. Gustafsson, P. Sunnegårdh and L. Carlsson, ABB AB, High Voltage Cables, The status and Future of HVDC Light Cable Systems, 2009</w:t>
      </w:r>
    </w:p>
  </w:footnote>
  <w:footnote w:id="25">
    <w:p w:rsidR="004D7103" w:rsidRDefault="004D7103" w:rsidP="00692C0D">
      <w:pPr>
        <w:pStyle w:val="FootnoteText"/>
      </w:pPr>
      <w:r>
        <w:rPr>
          <w:rStyle w:val="FootnoteReference"/>
        </w:rPr>
        <w:footnoteRef/>
      </w:r>
      <w:r>
        <w:t xml:space="preserve"> McKinsey: Carbon Capture and Storage: Assessing the Economics,</w:t>
      </w:r>
      <w:r w:rsidDel="004D6585">
        <w:t xml:space="preserve"> </w:t>
      </w:r>
      <w:r>
        <w:t>2008</w:t>
      </w:r>
    </w:p>
  </w:footnote>
  <w:footnote w:id="26">
    <w:p w:rsidR="004D7103" w:rsidRDefault="004D7103" w:rsidP="003B51B2">
      <w:pPr>
        <w:pStyle w:val="FootnoteText"/>
      </w:pPr>
      <w:r>
        <w:rPr>
          <w:rStyle w:val="FootnoteReference"/>
        </w:rPr>
        <w:footnoteRef/>
      </w:r>
      <w:r>
        <w:t xml:space="preserve"> IEA: Energy Technology Perspectives, 2008</w:t>
      </w:r>
    </w:p>
  </w:footnote>
  <w:footnote w:id="27">
    <w:p w:rsidR="004D7103" w:rsidRDefault="004D7103" w:rsidP="00FF5530">
      <w:pPr>
        <w:pStyle w:val="FootnoteText"/>
      </w:pPr>
      <w:r>
        <w:rPr>
          <w:rStyle w:val="FootnoteReference"/>
        </w:rPr>
        <w:footnoteRef/>
      </w:r>
      <w:r>
        <w:t xml:space="preserve"> European Technology Platform for ZEP: Carbon Capture and Storage, 2008</w:t>
      </w:r>
    </w:p>
  </w:footnote>
  <w:footnote w:id="28">
    <w:p w:rsidR="004D7103" w:rsidRDefault="004D7103" w:rsidP="003B51B2">
      <w:pPr>
        <w:pStyle w:val="FootnoteText"/>
      </w:pPr>
      <w:r>
        <w:rPr>
          <w:rStyle w:val="FootnoteReference"/>
        </w:rPr>
        <w:footnoteRef/>
      </w:r>
      <w:r>
        <w:t xml:space="preserve"> </w:t>
      </w:r>
      <w:r w:rsidRPr="00180F25">
        <w:t>Worley</w:t>
      </w:r>
      <w:r>
        <w:t xml:space="preserve"> </w:t>
      </w:r>
      <w:r w:rsidRPr="00180F25">
        <w:t>Parsons,</w:t>
      </w:r>
      <w:r>
        <w:t xml:space="preserve"> 2009</w:t>
      </w:r>
    </w:p>
  </w:footnote>
  <w:footnote w:id="29">
    <w:p w:rsidR="004D7103" w:rsidRDefault="004D7103" w:rsidP="00D13525">
      <w:pPr>
        <w:pStyle w:val="FootnoteText"/>
      </w:pPr>
      <w:r>
        <w:rPr>
          <w:rStyle w:val="FootnoteReference"/>
        </w:rPr>
        <w:footnoteRef/>
      </w:r>
      <w:r>
        <w:t xml:space="preserve"> McKinsey: Carbon Capture and Storage: Assessing the Economics, 2008</w:t>
      </w:r>
    </w:p>
  </w:footnote>
  <w:footnote w:id="30">
    <w:p w:rsidR="004D7103" w:rsidRDefault="004D7103" w:rsidP="00C338BC">
      <w:pPr>
        <w:pStyle w:val="FootnoteText"/>
      </w:pPr>
      <w:r>
        <w:rPr>
          <w:rStyle w:val="FootnoteReference"/>
        </w:rPr>
        <w:footnoteRef/>
      </w:r>
      <w:r>
        <w:t xml:space="preserve"> McKinsey: Carbon Capture and Storage: Assessing the Economics, 2008</w:t>
      </w:r>
    </w:p>
  </w:footnote>
  <w:footnote w:id="31">
    <w:p w:rsidR="004D7103" w:rsidRDefault="004D7103">
      <w:pPr>
        <w:pStyle w:val="FootnoteText"/>
      </w:pPr>
      <w:r>
        <w:rPr>
          <w:rStyle w:val="FootnoteReference"/>
        </w:rPr>
        <w:footnoteRef/>
      </w:r>
      <w:r>
        <w:t xml:space="preserve"> Leonardo Energy: Ecological Cable Sizing</w:t>
      </w:r>
    </w:p>
  </w:footnote>
  <w:footnote w:id="32">
    <w:p w:rsidR="004D7103" w:rsidRPr="006447A4" w:rsidRDefault="004D7103" w:rsidP="00376B18">
      <w:pPr>
        <w:spacing w:after="0" w:line="240" w:lineRule="auto"/>
        <w:contextualSpacing/>
        <w:jc w:val="both"/>
        <w:rPr>
          <w:rFonts w:ascii="Calibri" w:hAnsi="Calibri"/>
          <w:sz w:val="20"/>
          <w:szCs w:val="20"/>
        </w:rPr>
      </w:pPr>
      <w:r w:rsidRPr="006447A4">
        <w:rPr>
          <w:rStyle w:val="FootnoteReference"/>
          <w:sz w:val="20"/>
          <w:szCs w:val="20"/>
        </w:rPr>
        <w:footnoteRef/>
      </w:r>
      <w:r w:rsidRPr="006447A4">
        <w:rPr>
          <w:sz w:val="20"/>
          <w:szCs w:val="20"/>
        </w:rPr>
        <w:t xml:space="preserve"> United Nations: World Population Ageing 1950-2050, 2007</w:t>
      </w:r>
    </w:p>
  </w:footnote>
  <w:footnote w:id="33">
    <w:p w:rsidR="004D7103" w:rsidRDefault="004D7103" w:rsidP="006447A4">
      <w:pPr>
        <w:pStyle w:val="FootnoteText"/>
        <w:jc w:val="both"/>
      </w:pPr>
      <w:r>
        <w:rPr>
          <w:rStyle w:val="FootnoteReference"/>
        </w:rPr>
        <w:footnoteRef/>
      </w:r>
      <w:r>
        <w:t xml:space="preserve"> Benoît Dôme &amp; Jonathan Manson : Draft Road Map: 2009 residential building wire programmes relating to countries’ stages of economic development, August 2009</w:t>
      </w:r>
    </w:p>
  </w:footnote>
  <w:footnote w:id="34">
    <w:p w:rsidR="004D7103" w:rsidRDefault="004D7103" w:rsidP="005F3C7D">
      <w:pPr>
        <w:pStyle w:val="FootnoteText"/>
      </w:pPr>
      <w:r>
        <w:rPr>
          <w:rStyle w:val="FootnoteReference"/>
        </w:rPr>
        <w:footnoteRef/>
      </w:r>
      <w:r>
        <w:t xml:space="preserve"> JEL: August 2009</w:t>
      </w:r>
    </w:p>
  </w:footnote>
  <w:footnote w:id="35">
    <w:p w:rsidR="004D7103" w:rsidRPr="00B138BF" w:rsidRDefault="004D7103" w:rsidP="005F3C7D">
      <w:pPr>
        <w:widowControl w:val="0"/>
        <w:suppressAutoHyphens/>
        <w:spacing w:after="0" w:line="100" w:lineRule="atLeast"/>
        <w:contextualSpacing/>
        <w:jc w:val="both"/>
        <w:rPr>
          <w:sz w:val="20"/>
          <w:szCs w:val="20"/>
        </w:rPr>
      </w:pPr>
      <w:r>
        <w:rPr>
          <w:rStyle w:val="FootnoteReference"/>
        </w:rPr>
        <w:footnoteRef/>
      </w:r>
      <w:r>
        <w:t xml:space="preserve"> </w:t>
      </w:r>
      <w:r w:rsidRPr="00B138BF">
        <w:rPr>
          <w:sz w:val="20"/>
          <w:szCs w:val="20"/>
        </w:rPr>
        <w:t>K</w:t>
      </w:r>
      <w:r>
        <w:rPr>
          <w:sz w:val="20"/>
          <w:szCs w:val="20"/>
        </w:rPr>
        <w:t>ing's Fund Briefing: March 2009</w:t>
      </w:r>
    </w:p>
    <w:p w:rsidR="004D7103" w:rsidRDefault="004D7103" w:rsidP="005F3C7D">
      <w:pPr>
        <w:pStyle w:val="FootnoteText"/>
      </w:pPr>
    </w:p>
  </w:footnote>
  <w:footnote w:id="36">
    <w:p w:rsidR="004D7103" w:rsidRDefault="004D7103">
      <w:pPr>
        <w:pStyle w:val="FootnoteText"/>
      </w:pPr>
      <w:r>
        <w:rPr>
          <w:rStyle w:val="FootnoteReference"/>
        </w:rPr>
        <w:footnoteRef/>
      </w:r>
      <w:r>
        <w:t xml:space="preserve"> European Copper Institute : Energy Efficient Motor Drive Systems, 2004</w:t>
      </w:r>
    </w:p>
  </w:footnote>
  <w:footnote w:id="37">
    <w:p w:rsidR="004D7103" w:rsidRDefault="004D7103" w:rsidP="0064083B">
      <w:pPr>
        <w:pStyle w:val="FootnoteText"/>
      </w:pPr>
      <w:r>
        <w:rPr>
          <w:rStyle w:val="FootnoteReference"/>
        </w:rPr>
        <w:footnoteRef/>
      </w:r>
      <w:r>
        <w:t xml:space="preserve"> SAVE studies, 2000</w:t>
      </w:r>
    </w:p>
  </w:footnote>
  <w:footnote w:id="38">
    <w:p w:rsidR="004D7103" w:rsidRDefault="004D7103" w:rsidP="00714D75">
      <w:pPr>
        <w:pStyle w:val="FootnoteText"/>
      </w:pPr>
      <w:r>
        <w:rPr>
          <w:rStyle w:val="FootnoteReference"/>
        </w:rPr>
        <w:footnoteRef/>
      </w:r>
      <w:r>
        <w:t xml:space="preserve"> European Copper Institute: Energy Efficient Motor Drive Systems,2004</w:t>
      </w:r>
    </w:p>
    <w:p w:rsidR="004D7103" w:rsidRDefault="004D7103">
      <w:pPr>
        <w:pStyle w:val="FootnoteText"/>
      </w:pPr>
    </w:p>
  </w:footnote>
  <w:footnote w:id="39">
    <w:p w:rsidR="004D7103" w:rsidRDefault="004D7103" w:rsidP="00CC52D6">
      <w:pPr>
        <w:pStyle w:val="FootnoteText"/>
        <w:jc w:val="both"/>
      </w:pPr>
      <w:r>
        <w:rPr>
          <w:rStyle w:val="FootnoteReference"/>
        </w:rPr>
        <w:footnoteRef/>
      </w:r>
      <w:r>
        <w:t xml:space="preserve"> Climate Group: SMART 2020: Enabling the low carbon economy in the information age, 2009</w:t>
      </w:r>
    </w:p>
  </w:footnote>
  <w:footnote w:id="40">
    <w:p w:rsidR="004D7103" w:rsidRDefault="004D7103" w:rsidP="005A48E2">
      <w:pPr>
        <w:pStyle w:val="FootnoteText"/>
      </w:pPr>
      <w:r>
        <w:rPr>
          <w:rStyle w:val="FootnoteReference"/>
        </w:rPr>
        <w:footnoteRef/>
      </w:r>
      <w:r>
        <w:t xml:space="preserve"> IMS Research: The Global Market for Power Semiconductors, 2007 interim update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alias w:val="Title"/>
      <w:id w:val="9602912"/>
      <w:dataBinding w:prefixMappings="xmlns:ns0='http://schemas.openxmlformats.org/package/2006/metadata/core-properties' xmlns:ns1='http://purl.org/dc/elements/1.1/'" w:xpath="/ns0:coreProperties[1]/ns1:title[1]" w:storeItemID="{6C3C8BC8-F283-45AE-878A-BAB7291924A1}"/>
      <w:text/>
    </w:sdtPr>
    <w:sdtEndPr/>
    <w:sdtContent>
      <w:p w:rsidR="004D7103" w:rsidRPr="00336389" w:rsidRDefault="004D7103" w:rsidP="00336389">
        <w:pPr>
          <w:pStyle w:val="Header"/>
          <w:pBdr>
            <w:between w:val="single" w:sz="4" w:space="1" w:color="4F81BD" w:themeColor="accent1"/>
          </w:pBdr>
          <w:spacing w:line="276" w:lineRule="auto"/>
          <w:jc w:val="center"/>
        </w:pPr>
        <w:r>
          <w:rPr>
            <w:b/>
            <w:bCs/>
          </w:rPr>
          <w:t>The Emerging Electrical Markets for Copper</w:t>
        </w:r>
      </w:p>
    </w:sdtContent>
  </w:sdt>
  <w:p w:rsidR="004D7103" w:rsidRDefault="004D7103">
    <w:pPr>
      <w:pStyle w:val="Header"/>
      <w:pBdr>
        <w:between w:val="single" w:sz="4" w:space="1" w:color="4F81BD" w:themeColor="accent1"/>
      </w:pBdr>
      <w:spacing w:line="276"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0000006"/>
    <w:multiLevelType w:val="multilevel"/>
    <w:tmpl w:val="6F6E290E"/>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3B6005F"/>
    <w:multiLevelType w:val="hybridMultilevel"/>
    <w:tmpl w:val="C91CCF2A"/>
    <w:lvl w:ilvl="0" w:tplc="CA1AF424">
      <w:start w:val="1"/>
      <w:numFmt w:val="decimal"/>
      <w:lvlText w:val="%1)"/>
      <w:lvlJc w:val="left"/>
      <w:pPr>
        <w:ind w:left="720" w:hanging="360"/>
      </w:pPr>
      <w:rPr>
        <w:rFonts w:asciiTheme="minorHAnsi" w:eastAsia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27E10"/>
    <w:multiLevelType w:val="hybridMultilevel"/>
    <w:tmpl w:val="28C091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52B49"/>
    <w:multiLevelType w:val="hybridMultilevel"/>
    <w:tmpl w:val="9CFE36D2"/>
    <w:lvl w:ilvl="0" w:tplc="6BA403F4">
      <w:start w:val="2"/>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5" w15:restartNumberingAfterBreak="0">
    <w:nsid w:val="091B6FEB"/>
    <w:multiLevelType w:val="hybridMultilevel"/>
    <w:tmpl w:val="A614BD00"/>
    <w:lvl w:ilvl="0" w:tplc="7A50DC82">
      <w:start w:val="4"/>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6" w15:restartNumberingAfterBreak="0">
    <w:nsid w:val="0950665A"/>
    <w:multiLevelType w:val="hybridMultilevel"/>
    <w:tmpl w:val="D450A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54EBD"/>
    <w:multiLevelType w:val="multilevel"/>
    <w:tmpl w:val="D2244BD4"/>
    <w:lvl w:ilvl="0">
      <w:start w:val="1"/>
      <w:numFmt w:val="decimal"/>
      <w:lvlText w:val="%1."/>
      <w:lvlJc w:val="left"/>
      <w:pPr>
        <w:ind w:left="144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0D35500F"/>
    <w:multiLevelType w:val="hybridMultilevel"/>
    <w:tmpl w:val="3B324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C2489"/>
    <w:multiLevelType w:val="hybridMultilevel"/>
    <w:tmpl w:val="A8ECCEE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687742"/>
    <w:multiLevelType w:val="hybridMultilevel"/>
    <w:tmpl w:val="E3A83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ED3B6D"/>
    <w:multiLevelType w:val="hybridMultilevel"/>
    <w:tmpl w:val="9746C4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834899"/>
    <w:multiLevelType w:val="hybridMultilevel"/>
    <w:tmpl w:val="8CD8C1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FA0069"/>
    <w:multiLevelType w:val="hybridMultilevel"/>
    <w:tmpl w:val="8EF8461A"/>
    <w:lvl w:ilvl="0" w:tplc="0004FF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6E28A2"/>
    <w:multiLevelType w:val="hybridMultilevel"/>
    <w:tmpl w:val="CF1875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E52AE7"/>
    <w:multiLevelType w:val="hybridMultilevel"/>
    <w:tmpl w:val="2A2052FA"/>
    <w:lvl w:ilvl="0" w:tplc="C0D2D692">
      <w:start w:val="3"/>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6" w15:restartNumberingAfterBreak="0">
    <w:nsid w:val="1BF96186"/>
    <w:multiLevelType w:val="hybridMultilevel"/>
    <w:tmpl w:val="502C13E0"/>
    <w:lvl w:ilvl="0" w:tplc="17902D54">
      <w:start w:val="1"/>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7" w15:restartNumberingAfterBreak="0">
    <w:nsid w:val="210E5959"/>
    <w:multiLevelType w:val="hybridMultilevel"/>
    <w:tmpl w:val="1018B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303032"/>
    <w:multiLevelType w:val="hybridMultilevel"/>
    <w:tmpl w:val="97EA8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E7073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9BC4BD6"/>
    <w:multiLevelType w:val="hybridMultilevel"/>
    <w:tmpl w:val="2CE015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3C6B77"/>
    <w:multiLevelType w:val="hybridMultilevel"/>
    <w:tmpl w:val="026E75D6"/>
    <w:lvl w:ilvl="0" w:tplc="08090011">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 w15:restartNumberingAfterBreak="0">
    <w:nsid w:val="36645B25"/>
    <w:multiLevelType w:val="hybridMultilevel"/>
    <w:tmpl w:val="502C13E0"/>
    <w:lvl w:ilvl="0" w:tplc="17902D54">
      <w:start w:val="1"/>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23" w15:restartNumberingAfterBreak="0">
    <w:nsid w:val="388D49F5"/>
    <w:multiLevelType w:val="hybridMultilevel"/>
    <w:tmpl w:val="DADCB6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446648"/>
    <w:multiLevelType w:val="hybridMultilevel"/>
    <w:tmpl w:val="4F4A3C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333745"/>
    <w:multiLevelType w:val="hybridMultilevel"/>
    <w:tmpl w:val="25A209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772F9C"/>
    <w:multiLevelType w:val="hybridMultilevel"/>
    <w:tmpl w:val="51663A94"/>
    <w:lvl w:ilvl="0" w:tplc="64DE373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965970"/>
    <w:multiLevelType w:val="hybridMultilevel"/>
    <w:tmpl w:val="B0D8C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602D7"/>
    <w:multiLevelType w:val="hybridMultilevel"/>
    <w:tmpl w:val="BA62E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EE510E"/>
    <w:multiLevelType w:val="hybridMultilevel"/>
    <w:tmpl w:val="A12EF19A"/>
    <w:lvl w:ilvl="0" w:tplc="08090011">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30" w15:restartNumberingAfterBreak="0">
    <w:nsid w:val="52D04786"/>
    <w:multiLevelType w:val="hybridMultilevel"/>
    <w:tmpl w:val="6504EA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50361"/>
    <w:multiLevelType w:val="hybridMultilevel"/>
    <w:tmpl w:val="E26034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076A3"/>
    <w:multiLevelType w:val="hybridMultilevel"/>
    <w:tmpl w:val="8F4026AA"/>
    <w:lvl w:ilvl="0" w:tplc="64380DEC">
      <w:start w:val="1"/>
      <w:numFmt w:val="decimal"/>
      <w:lvlText w:val="%1)"/>
      <w:lvlJc w:val="left"/>
      <w:pPr>
        <w:ind w:left="720" w:hanging="360"/>
      </w:pPr>
      <w:rPr>
        <w:rFonts w:cs="GillSan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1970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835630"/>
    <w:multiLevelType w:val="hybridMultilevel"/>
    <w:tmpl w:val="E26034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604AB8"/>
    <w:multiLevelType w:val="hybridMultilevel"/>
    <w:tmpl w:val="C8CCDA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026105"/>
    <w:multiLevelType w:val="hybridMultilevel"/>
    <w:tmpl w:val="F5A07F7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554AC"/>
    <w:multiLevelType w:val="hybridMultilevel"/>
    <w:tmpl w:val="360267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D0357C"/>
    <w:multiLevelType w:val="hybridMultilevel"/>
    <w:tmpl w:val="0276BDE4"/>
    <w:lvl w:ilvl="0" w:tplc="0809000F">
      <w:start w:val="1"/>
      <w:numFmt w:val="decimal"/>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num w:numId="1">
    <w:abstractNumId w:val="7"/>
  </w:num>
  <w:num w:numId="2">
    <w:abstractNumId w:val="36"/>
  </w:num>
  <w:num w:numId="3">
    <w:abstractNumId w:val="0"/>
  </w:num>
  <w:num w:numId="4">
    <w:abstractNumId w:val="1"/>
  </w:num>
  <w:num w:numId="5">
    <w:abstractNumId w:val="29"/>
  </w:num>
  <w:num w:numId="6">
    <w:abstractNumId w:val="16"/>
  </w:num>
  <w:num w:numId="7">
    <w:abstractNumId w:val="4"/>
  </w:num>
  <w:num w:numId="8">
    <w:abstractNumId w:val="15"/>
  </w:num>
  <w:num w:numId="9">
    <w:abstractNumId w:val="5"/>
  </w:num>
  <w:num w:numId="10">
    <w:abstractNumId w:val="22"/>
  </w:num>
  <w:num w:numId="11">
    <w:abstractNumId w:val="35"/>
  </w:num>
  <w:num w:numId="12">
    <w:abstractNumId w:val="24"/>
  </w:num>
  <w:num w:numId="13">
    <w:abstractNumId w:val="14"/>
  </w:num>
  <w:num w:numId="14">
    <w:abstractNumId w:val="9"/>
  </w:num>
  <w:num w:numId="15">
    <w:abstractNumId w:val="11"/>
  </w:num>
  <w:num w:numId="16">
    <w:abstractNumId w:val="25"/>
  </w:num>
  <w:num w:numId="17">
    <w:abstractNumId w:val="12"/>
  </w:num>
  <w:num w:numId="18">
    <w:abstractNumId w:val="32"/>
  </w:num>
  <w:num w:numId="19">
    <w:abstractNumId w:val="21"/>
  </w:num>
  <w:num w:numId="20">
    <w:abstractNumId w:val="30"/>
  </w:num>
  <w:num w:numId="21">
    <w:abstractNumId w:val="10"/>
  </w:num>
  <w:num w:numId="22">
    <w:abstractNumId w:val="37"/>
  </w:num>
  <w:num w:numId="23">
    <w:abstractNumId w:val="2"/>
  </w:num>
  <w:num w:numId="24">
    <w:abstractNumId w:val="18"/>
  </w:num>
  <w:num w:numId="25">
    <w:abstractNumId w:val="28"/>
  </w:num>
  <w:num w:numId="26">
    <w:abstractNumId w:val="20"/>
  </w:num>
  <w:num w:numId="27">
    <w:abstractNumId w:val="23"/>
  </w:num>
  <w:num w:numId="28">
    <w:abstractNumId w:val="27"/>
  </w:num>
  <w:num w:numId="29">
    <w:abstractNumId w:val="3"/>
  </w:num>
  <w:num w:numId="30">
    <w:abstractNumId w:val="31"/>
  </w:num>
  <w:num w:numId="31">
    <w:abstractNumId w:val="34"/>
  </w:num>
  <w:num w:numId="32">
    <w:abstractNumId w:val="17"/>
  </w:num>
  <w:num w:numId="33">
    <w:abstractNumId w:val="26"/>
  </w:num>
  <w:num w:numId="34">
    <w:abstractNumId w:val="13"/>
  </w:num>
  <w:num w:numId="35">
    <w:abstractNumId w:val="38"/>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33"/>
  </w:num>
  <w:num w:numId="43">
    <w:abstractNumId w:val="19"/>
  </w:num>
  <w:num w:numId="44">
    <w:abstractNumId w:val="19"/>
  </w:num>
  <w:num w:numId="45">
    <w:abstractNumId w:val="19"/>
  </w:num>
  <w:num w:numId="46">
    <w:abstractNumId w:val="19"/>
  </w:num>
  <w:num w:numId="47">
    <w:abstractNumId w:val="8"/>
  </w:num>
  <w:num w:numId="48">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358"/>
    <w:rsid w:val="000027DA"/>
    <w:rsid w:val="0000519E"/>
    <w:rsid w:val="00006932"/>
    <w:rsid w:val="00006E10"/>
    <w:rsid w:val="00012906"/>
    <w:rsid w:val="00012CFC"/>
    <w:rsid w:val="0001412D"/>
    <w:rsid w:val="000206AB"/>
    <w:rsid w:val="000215F1"/>
    <w:rsid w:val="000236FE"/>
    <w:rsid w:val="00023FB7"/>
    <w:rsid w:val="00024ACF"/>
    <w:rsid w:val="00024E6B"/>
    <w:rsid w:val="0002532D"/>
    <w:rsid w:val="0002565E"/>
    <w:rsid w:val="000266BA"/>
    <w:rsid w:val="00026A5D"/>
    <w:rsid w:val="00027F9F"/>
    <w:rsid w:val="00032C7A"/>
    <w:rsid w:val="000355CD"/>
    <w:rsid w:val="000370B0"/>
    <w:rsid w:val="000375F7"/>
    <w:rsid w:val="0004044A"/>
    <w:rsid w:val="00041287"/>
    <w:rsid w:val="0004215C"/>
    <w:rsid w:val="00042B65"/>
    <w:rsid w:val="00042FD5"/>
    <w:rsid w:val="00043016"/>
    <w:rsid w:val="00043674"/>
    <w:rsid w:val="00044D51"/>
    <w:rsid w:val="000457E6"/>
    <w:rsid w:val="000463B6"/>
    <w:rsid w:val="0005138E"/>
    <w:rsid w:val="00054E07"/>
    <w:rsid w:val="00056522"/>
    <w:rsid w:val="000565FA"/>
    <w:rsid w:val="00056F62"/>
    <w:rsid w:val="0005759A"/>
    <w:rsid w:val="00061B3C"/>
    <w:rsid w:val="000647E8"/>
    <w:rsid w:val="00064FE2"/>
    <w:rsid w:val="00065C69"/>
    <w:rsid w:val="00066F64"/>
    <w:rsid w:val="00074EEC"/>
    <w:rsid w:val="00075D24"/>
    <w:rsid w:val="00075E54"/>
    <w:rsid w:val="00085459"/>
    <w:rsid w:val="00085A17"/>
    <w:rsid w:val="00086B6A"/>
    <w:rsid w:val="00092348"/>
    <w:rsid w:val="000A4F13"/>
    <w:rsid w:val="000A5212"/>
    <w:rsid w:val="000B074F"/>
    <w:rsid w:val="000B1B61"/>
    <w:rsid w:val="000B37DA"/>
    <w:rsid w:val="000B3A95"/>
    <w:rsid w:val="000B5E26"/>
    <w:rsid w:val="000B7317"/>
    <w:rsid w:val="000C0385"/>
    <w:rsid w:val="000C4F61"/>
    <w:rsid w:val="000C54BC"/>
    <w:rsid w:val="000C5C3A"/>
    <w:rsid w:val="000C6A0D"/>
    <w:rsid w:val="000C7AA5"/>
    <w:rsid w:val="000D06DF"/>
    <w:rsid w:val="000D08B4"/>
    <w:rsid w:val="000D0991"/>
    <w:rsid w:val="000D2F84"/>
    <w:rsid w:val="000D4FF9"/>
    <w:rsid w:val="000D59E5"/>
    <w:rsid w:val="000E0CC9"/>
    <w:rsid w:val="000E15D2"/>
    <w:rsid w:val="000E29CF"/>
    <w:rsid w:val="000E3907"/>
    <w:rsid w:val="000E4102"/>
    <w:rsid w:val="000E4266"/>
    <w:rsid w:val="000E4314"/>
    <w:rsid w:val="000E6A6B"/>
    <w:rsid w:val="000E7032"/>
    <w:rsid w:val="000E7799"/>
    <w:rsid w:val="000E7FA6"/>
    <w:rsid w:val="000F2142"/>
    <w:rsid w:val="000F3111"/>
    <w:rsid w:val="000F42EE"/>
    <w:rsid w:val="000F52C8"/>
    <w:rsid w:val="000F56A4"/>
    <w:rsid w:val="000F6171"/>
    <w:rsid w:val="00100E3B"/>
    <w:rsid w:val="001028F8"/>
    <w:rsid w:val="0010355A"/>
    <w:rsid w:val="00106C6F"/>
    <w:rsid w:val="0011607E"/>
    <w:rsid w:val="00116A52"/>
    <w:rsid w:val="0011783F"/>
    <w:rsid w:val="00120AA0"/>
    <w:rsid w:val="00121116"/>
    <w:rsid w:val="001268A7"/>
    <w:rsid w:val="001307E1"/>
    <w:rsid w:val="001317AA"/>
    <w:rsid w:val="00133AF4"/>
    <w:rsid w:val="001442EC"/>
    <w:rsid w:val="00145F3C"/>
    <w:rsid w:val="0014773D"/>
    <w:rsid w:val="001510BD"/>
    <w:rsid w:val="00152EF0"/>
    <w:rsid w:val="0015470D"/>
    <w:rsid w:val="0016180A"/>
    <w:rsid w:val="00161F71"/>
    <w:rsid w:val="00162695"/>
    <w:rsid w:val="001704E9"/>
    <w:rsid w:val="0017284F"/>
    <w:rsid w:val="00173B17"/>
    <w:rsid w:val="0017678E"/>
    <w:rsid w:val="00177565"/>
    <w:rsid w:val="00180661"/>
    <w:rsid w:val="00180DB8"/>
    <w:rsid w:val="00181BAC"/>
    <w:rsid w:val="00183440"/>
    <w:rsid w:val="00186A21"/>
    <w:rsid w:val="00186AD5"/>
    <w:rsid w:val="001900B4"/>
    <w:rsid w:val="001948B3"/>
    <w:rsid w:val="001A07D0"/>
    <w:rsid w:val="001A153C"/>
    <w:rsid w:val="001A1932"/>
    <w:rsid w:val="001A1EBA"/>
    <w:rsid w:val="001A28B8"/>
    <w:rsid w:val="001A33A7"/>
    <w:rsid w:val="001A3743"/>
    <w:rsid w:val="001A593F"/>
    <w:rsid w:val="001B029A"/>
    <w:rsid w:val="001B29B4"/>
    <w:rsid w:val="001B2F41"/>
    <w:rsid w:val="001B3297"/>
    <w:rsid w:val="001B3448"/>
    <w:rsid w:val="001B61F4"/>
    <w:rsid w:val="001C098E"/>
    <w:rsid w:val="001C11AA"/>
    <w:rsid w:val="001C1B59"/>
    <w:rsid w:val="001C1C7D"/>
    <w:rsid w:val="001C1D0E"/>
    <w:rsid w:val="001C1F8C"/>
    <w:rsid w:val="001C2CD3"/>
    <w:rsid w:val="001C323C"/>
    <w:rsid w:val="001C5A0D"/>
    <w:rsid w:val="001C705F"/>
    <w:rsid w:val="001D04C2"/>
    <w:rsid w:val="001D0DCE"/>
    <w:rsid w:val="001D1E18"/>
    <w:rsid w:val="001D2BFE"/>
    <w:rsid w:val="001D335A"/>
    <w:rsid w:val="001D356C"/>
    <w:rsid w:val="001D63C8"/>
    <w:rsid w:val="001D6D17"/>
    <w:rsid w:val="001D710D"/>
    <w:rsid w:val="001D7D0B"/>
    <w:rsid w:val="001E5888"/>
    <w:rsid w:val="001E6772"/>
    <w:rsid w:val="001F03D1"/>
    <w:rsid w:val="001F0AB6"/>
    <w:rsid w:val="001F10F9"/>
    <w:rsid w:val="001F17EE"/>
    <w:rsid w:val="001F1D2E"/>
    <w:rsid w:val="002007FD"/>
    <w:rsid w:val="002025B6"/>
    <w:rsid w:val="00206E9A"/>
    <w:rsid w:val="00211BDC"/>
    <w:rsid w:val="00212ED1"/>
    <w:rsid w:val="00213BF1"/>
    <w:rsid w:val="0022074C"/>
    <w:rsid w:val="00222363"/>
    <w:rsid w:val="002224FE"/>
    <w:rsid w:val="002226BB"/>
    <w:rsid w:val="00223DD8"/>
    <w:rsid w:val="00225E47"/>
    <w:rsid w:val="0022752C"/>
    <w:rsid w:val="00230E0A"/>
    <w:rsid w:val="00231613"/>
    <w:rsid w:val="00231D5A"/>
    <w:rsid w:val="00236F21"/>
    <w:rsid w:val="00242935"/>
    <w:rsid w:val="00243A62"/>
    <w:rsid w:val="00245486"/>
    <w:rsid w:val="00247901"/>
    <w:rsid w:val="002509D0"/>
    <w:rsid w:val="00251BE9"/>
    <w:rsid w:val="0025619F"/>
    <w:rsid w:val="00256D0C"/>
    <w:rsid w:val="00257B43"/>
    <w:rsid w:val="0026063E"/>
    <w:rsid w:val="002611DC"/>
    <w:rsid w:val="002614CA"/>
    <w:rsid w:val="0026269E"/>
    <w:rsid w:val="00262A84"/>
    <w:rsid w:val="002642B1"/>
    <w:rsid w:val="002645B5"/>
    <w:rsid w:val="00265F8D"/>
    <w:rsid w:val="002668F2"/>
    <w:rsid w:val="00266964"/>
    <w:rsid w:val="00276B89"/>
    <w:rsid w:val="00276F55"/>
    <w:rsid w:val="00281879"/>
    <w:rsid w:val="00281AAA"/>
    <w:rsid w:val="00282878"/>
    <w:rsid w:val="00282E1C"/>
    <w:rsid w:val="00291102"/>
    <w:rsid w:val="0029116A"/>
    <w:rsid w:val="00291F3F"/>
    <w:rsid w:val="00292CF4"/>
    <w:rsid w:val="00293562"/>
    <w:rsid w:val="002937AD"/>
    <w:rsid w:val="00293AED"/>
    <w:rsid w:val="00294728"/>
    <w:rsid w:val="002A2F13"/>
    <w:rsid w:val="002A38D1"/>
    <w:rsid w:val="002A7A34"/>
    <w:rsid w:val="002B1976"/>
    <w:rsid w:val="002B2606"/>
    <w:rsid w:val="002B3619"/>
    <w:rsid w:val="002B6366"/>
    <w:rsid w:val="002B7D31"/>
    <w:rsid w:val="002C180C"/>
    <w:rsid w:val="002C41F0"/>
    <w:rsid w:val="002C46C9"/>
    <w:rsid w:val="002D37F2"/>
    <w:rsid w:val="002D70DD"/>
    <w:rsid w:val="002D746B"/>
    <w:rsid w:val="002D75DC"/>
    <w:rsid w:val="002E09C2"/>
    <w:rsid w:val="002E1A5A"/>
    <w:rsid w:val="002E2B8A"/>
    <w:rsid w:val="002F0C74"/>
    <w:rsid w:val="002F3F94"/>
    <w:rsid w:val="002F4A3A"/>
    <w:rsid w:val="0030289E"/>
    <w:rsid w:val="003068D5"/>
    <w:rsid w:val="003105A2"/>
    <w:rsid w:val="00310EAA"/>
    <w:rsid w:val="00311BE1"/>
    <w:rsid w:val="00317338"/>
    <w:rsid w:val="00322342"/>
    <w:rsid w:val="003240CB"/>
    <w:rsid w:val="0032460C"/>
    <w:rsid w:val="00325FE9"/>
    <w:rsid w:val="00331861"/>
    <w:rsid w:val="003344BC"/>
    <w:rsid w:val="00335E06"/>
    <w:rsid w:val="00336389"/>
    <w:rsid w:val="00337445"/>
    <w:rsid w:val="003400F4"/>
    <w:rsid w:val="00341C79"/>
    <w:rsid w:val="00341F66"/>
    <w:rsid w:val="00341F89"/>
    <w:rsid w:val="00346217"/>
    <w:rsid w:val="00351958"/>
    <w:rsid w:val="0035211B"/>
    <w:rsid w:val="0035329F"/>
    <w:rsid w:val="003539C4"/>
    <w:rsid w:val="00354E24"/>
    <w:rsid w:val="00357D9E"/>
    <w:rsid w:val="00365BCB"/>
    <w:rsid w:val="00365D6F"/>
    <w:rsid w:val="00366758"/>
    <w:rsid w:val="00366AB8"/>
    <w:rsid w:val="00367397"/>
    <w:rsid w:val="00371B8C"/>
    <w:rsid w:val="00373BF5"/>
    <w:rsid w:val="0037607A"/>
    <w:rsid w:val="00376B18"/>
    <w:rsid w:val="003820E3"/>
    <w:rsid w:val="003823AE"/>
    <w:rsid w:val="00384BA0"/>
    <w:rsid w:val="00384DFC"/>
    <w:rsid w:val="00387A10"/>
    <w:rsid w:val="00387D24"/>
    <w:rsid w:val="00390D82"/>
    <w:rsid w:val="00390E5C"/>
    <w:rsid w:val="00392A26"/>
    <w:rsid w:val="00393AB7"/>
    <w:rsid w:val="003A27B2"/>
    <w:rsid w:val="003A3B5F"/>
    <w:rsid w:val="003A59A7"/>
    <w:rsid w:val="003A672C"/>
    <w:rsid w:val="003A6FF6"/>
    <w:rsid w:val="003A79C4"/>
    <w:rsid w:val="003B11BB"/>
    <w:rsid w:val="003B1D6E"/>
    <w:rsid w:val="003B23BE"/>
    <w:rsid w:val="003B2652"/>
    <w:rsid w:val="003B2BA7"/>
    <w:rsid w:val="003B30CC"/>
    <w:rsid w:val="003B407F"/>
    <w:rsid w:val="003B51B2"/>
    <w:rsid w:val="003B608C"/>
    <w:rsid w:val="003B6459"/>
    <w:rsid w:val="003B66F1"/>
    <w:rsid w:val="003B7056"/>
    <w:rsid w:val="003B7E19"/>
    <w:rsid w:val="003C0D7F"/>
    <w:rsid w:val="003C478A"/>
    <w:rsid w:val="003C5929"/>
    <w:rsid w:val="003C613C"/>
    <w:rsid w:val="003C7AEB"/>
    <w:rsid w:val="003D2C93"/>
    <w:rsid w:val="003D453E"/>
    <w:rsid w:val="003D5055"/>
    <w:rsid w:val="003D635A"/>
    <w:rsid w:val="003D6FEE"/>
    <w:rsid w:val="003E0E24"/>
    <w:rsid w:val="003E3D27"/>
    <w:rsid w:val="003E4419"/>
    <w:rsid w:val="003E477E"/>
    <w:rsid w:val="003E4C96"/>
    <w:rsid w:val="003F0435"/>
    <w:rsid w:val="003F0FE3"/>
    <w:rsid w:val="003F40F0"/>
    <w:rsid w:val="003F4545"/>
    <w:rsid w:val="003F675C"/>
    <w:rsid w:val="003F7419"/>
    <w:rsid w:val="003F7B4D"/>
    <w:rsid w:val="0040112D"/>
    <w:rsid w:val="00401803"/>
    <w:rsid w:val="004057B6"/>
    <w:rsid w:val="00411358"/>
    <w:rsid w:val="004119A5"/>
    <w:rsid w:val="004119BD"/>
    <w:rsid w:val="00416AAB"/>
    <w:rsid w:val="00421B37"/>
    <w:rsid w:val="00421E11"/>
    <w:rsid w:val="004253A2"/>
    <w:rsid w:val="004308DA"/>
    <w:rsid w:val="0043104A"/>
    <w:rsid w:val="00431DEA"/>
    <w:rsid w:val="00432BDD"/>
    <w:rsid w:val="00436E9D"/>
    <w:rsid w:val="00437093"/>
    <w:rsid w:val="00440A05"/>
    <w:rsid w:val="00440EEC"/>
    <w:rsid w:val="00442FDF"/>
    <w:rsid w:val="00443938"/>
    <w:rsid w:val="004450A8"/>
    <w:rsid w:val="00445F34"/>
    <w:rsid w:val="00447225"/>
    <w:rsid w:val="00450857"/>
    <w:rsid w:val="00451056"/>
    <w:rsid w:val="00452C28"/>
    <w:rsid w:val="0046097D"/>
    <w:rsid w:val="004611A5"/>
    <w:rsid w:val="00462471"/>
    <w:rsid w:val="00463469"/>
    <w:rsid w:val="00464B33"/>
    <w:rsid w:val="00466CE5"/>
    <w:rsid w:val="00467EF4"/>
    <w:rsid w:val="004740B3"/>
    <w:rsid w:val="00476514"/>
    <w:rsid w:val="00477239"/>
    <w:rsid w:val="00480315"/>
    <w:rsid w:val="0048135C"/>
    <w:rsid w:val="004815C8"/>
    <w:rsid w:val="00482B33"/>
    <w:rsid w:val="004842A1"/>
    <w:rsid w:val="00486C25"/>
    <w:rsid w:val="00487E56"/>
    <w:rsid w:val="004901FB"/>
    <w:rsid w:val="004902DD"/>
    <w:rsid w:val="004916D9"/>
    <w:rsid w:val="00492B8E"/>
    <w:rsid w:val="00493509"/>
    <w:rsid w:val="004A3EDA"/>
    <w:rsid w:val="004A4483"/>
    <w:rsid w:val="004A4B50"/>
    <w:rsid w:val="004A73D3"/>
    <w:rsid w:val="004B0F0F"/>
    <w:rsid w:val="004B572F"/>
    <w:rsid w:val="004B5F31"/>
    <w:rsid w:val="004B70FC"/>
    <w:rsid w:val="004C08C8"/>
    <w:rsid w:val="004C0D3A"/>
    <w:rsid w:val="004C0D3F"/>
    <w:rsid w:val="004C0E72"/>
    <w:rsid w:val="004C22D9"/>
    <w:rsid w:val="004C243A"/>
    <w:rsid w:val="004C2C22"/>
    <w:rsid w:val="004C5F39"/>
    <w:rsid w:val="004C5F47"/>
    <w:rsid w:val="004C6406"/>
    <w:rsid w:val="004C6A71"/>
    <w:rsid w:val="004C792A"/>
    <w:rsid w:val="004D11AF"/>
    <w:rsid w:val="004D3C3C"/>
    <w:rsid w:val="004D48DE"/>
    <w:rsid w:val="004D6585"/>
    <w:rsid w:val="004D6789"/>
    <w:rsid w:val="004D7103"/>
    <w:rsid w:val="004D728D"/>
    <w:rsid w:val="004E0297"/>
    <w:rsid w:val="004E12D7"/>
    <w:rsid w:val="004E1801"/>
    <w:rsid w:val="004E44A4"/>
    <w:rsid w:val="004E6E2C"/>
    <w:rsid w:val="004F0D6B"/>
    <w:rsid w:val="004F0EC3"/>
    <w:rsid w:val="004F1B84"/>
    <w:rsid w:val="004F4BFA"/>
    <w:rsid w:val="004F72DA"/>
    <w:rsid w:val="005005DA"/>
    <w:rsid w:val="00500A65"/>
    <w:rsid w:val="005016D7"/>
    <w:rsid w:val="005028AE"/>
    <w:rsid w:val="0050390A"/>
    <w:rsid w:val="00507D62"/>
    <w:rsid w:val="0051099C"/>
    <w:rsid w:val="0051176E"/>
    <w:rsid w:val="00513D66"/>
    <w:rsid w:val="00514233"/>
    <w:rsid w:val="00530994"/>
    <w:rsid w:val="00530C41"/>
    <w:rsid w:val="0053307C"/>
    <w:rsid w:val="00534348"/>
    <w:rsid w:val="00534615"/>
    <w:rsid w:val="00535398"/>
    <w:rsid w:val="00536446"/>
    <w:rsid w:val="00536F1E"/>
    <w:rsid w:val="00537BAC"/>
    <w:rsid w:val="005402F5"/>
    <w:rsid w:val="00540830"/>
    <w:rsid w:val="0054267A"/>
    <w:rsid w:val="00545388"/>
    <w:rsid w:val="00545D8E"/>
    <w:rsid w:val="00546D64"/>
    <w:rsid w:val="00547426"/>
    <w:rsid w:val="005478F6"/>
    <w:rsid w:val="00547F23"/>
    <w:rsid w:val="0055032F"/>
    <w:rsid w:val="0055190A"/>
    <w:rsid w:val="005524F6"/>
    <w:rsid w:val="00554676"/>
    <w:rsid w:val="00555298"/>
    <w:rsid w:val="00555A4B"/>
    <w:rsid w:val="00555B34"/>
    <w:rsid w:val="005561A8"/>
    <w:rsid w:val="00561E43"/>
    <w:rsid w:val="00563FAC"/>
    <w:rsid w:val="005643F9"/>
    <w:rsid w:val="0056561D"/>
    <w:rsid w:val="0057114E"/>
    <w:rsid w:val="00571BE3"/>
    <w:rsid w:val="005758A7"/>
    <w:rsid w:val="00575E66"/>
    <w:rsid w:val="00580843"/>
    <w:rsid w:val="00580B54"/>
    <w:rsid w:val="005832B9"/>
    <w:rsid w:val="00584859"/>
    <w:rsid w:val="005859CB"/>
    <w:rsid w:val="0058713E"/>
    <w:rsid w:val="00594547"/>
    <w:rsid w:val="005960BA"/>
    <w:rsid w:val="005A13C1"/>
    <w:rsid w:val="005A48E2"/>
    <w:rsid w:val="005A5E6B"/>
    <w:rsid w:val="005B0EC1"/>
    <w:rsid w:val="005B3717"/>
    <w:rsid w:val="005B43AE"/>
    <w:rsid w:val="005C0157"/>
    <w:rsid w:val="005C01A8"/>
    <w:rsid w:val="005C0747"/>
    <w:rsid w:val="005C0D14"/>
    <w:rsid w:val="005C0FE3"/>
    <w:rsid w:val="005C2DB9"/>
    <w:rsid w:val="005C37E8"/>
    <w:rsid w:val="005C5850"/>
    <w:rsid w:val="005C6719"/>
    <w:rsid w:val="005C792F"/>
    <w:rsid w:val="005D0D98"/>
    <w:rsid w:val="005D23DF"/>
    <w:rsid w:val="005D283C"/>
    <w:rsid w:val="005D41CE"/>
    <w:rsid w:val="005D42CB"/>
    <w:rsid w:val="005D4E64"/>
    <w:rsid w:val="005E4FD7"/>
    <w:rsid w:val="005E6C0F"/>
    <w:rsid w:val="005E74BD"/>
    <w:rsid w:val="005F0FD9"/>
    <w:rsid w:val="005F3C7D"/>
    <w:rsid w:val="005F3CC6"/>
    <w:rsid w:val="005F5A0A"/>
    <w:rsid w:val="005F6216"/>
    <w:rsid w:val="005F717A"/>
    <w:rsid w:val="005F7FF5"/>
    <w:rsid w:val="0060261A"/>
    <w:rsid w:val="0060285D"/>
    <w:rsid w:val="00603AA4"/>
    <w:rsid w:val="00605B71"/>
    <w:rsid w:val="006114F0"/>
    <w:rsid w:val="00611955"/>
    <w:rsid w:val="006120E8"/>
    <w:rsid w:val="006138A4"/>
    <w:rsid w:val="00616F42"/>
    <w:rsid w:val="00620E5F"/>
    <w:rsid w:val="00621010"/>
    <w:rsid w:val="006258F9"/>
    <w:rsid w:val="00631000"/>
    <w:rsid w:val="0063252A"/>
    <w:rsid w:val="006341D0"/>
    <w:rsid w:val="006400E4"/>
    <w:rsid w:val="0064083B"/>
    <w:rsid w:val="00640C7E"/>
    <w:rsid w:val="006447A4"/>
    <w:rsid w:val="0064486A"/>
    <w:rsid w:val="006505E5"/>
    <w:rsid w:val="00651B2D"/>
    <w:rsid w:val="00652E34"/>
    <w:rsid w:val="0065371E"/>
    <w:rsid w:val="006654ED"/>
    <w:rsid w:val="00670FD5"/>
    <w:rsid w:val="00673238"/>
    <w:rsid w:val="0067493F"/>
    <w:rsid w:val="006750EA"/>
    <w:rsid w:val="006764E5"/>
    <w:rsid w:val="006774FB"/>
    <w:rsid w:val="00677C06"/>
    <w:rsid w:val="00682044"/>
    <w:rsid w:val="00682EBC"/>
    <w:rsid w:val="006845FC"/>
    <w:rsid w:val="00684FE3"/>
    <w:rsid w:val="006858A2"/>
    <w:rsid w:val="00685AFC"/>
    <w:rsid w:val="00685D5C"/>
    <w:rsid w:val="006864E1"/>
    <w:rsid w:val="00687D22"/>
    <w:rsid w:val="00690EFE"/>
    <w:rsid w:val="00692C0D"/>
    <w:rsid w:val="00693117"/>
    <w:rsid w:val="006933F8"/>
    <w:rsid w:val="006946BC"/>
    <w:rsid w:val="00695E97"/>
    <w:rsid w:val="00697675"/>
    <w:rsid w:val="006A065D"/>
    <w:rsid w:val="006A08C4"/>
    <w:rsid w:val="006A19C3"/>
    <w:rsid w:val="006A1B89"/>
    <w:rsid w:val="006A285F"/>
    <w:rsid w:val="006A2FD6"/>
    <w:rsid w:val="006A4E95"/>
    <w:rsid w:val="006A567C"/>
    <w:rsid w:val="006A5824"/>
    <w:rsid w:val="006A5F5A"/>
    <w:rsid w:val="006B31B2"/>
    <w:rsid w:val="006B73D7"/>
    <w:rsid w:val="006B77FF"/>
    <w:rsid w:val="006C0AEA"/>
    <w:rsid w:val="006C3E0B"/>
    <w:rsid w:val="006C5182"/>
    <w:rsid w:val="006C5550"/>
    <w:rsid w:val="006D06DC"/>
    <w:rsid w:val="006D15B8"/>
    <w:rsid w:val="006D2A01"/>
    <w:rsid w:val="006D4577"/>
    <w:rsid w:val="006E32C3"/>
    <w:rsid w:val="006E50F8"/>
    <w:rsid w:val="006E68CA"/>
    <w:rsid w:val="006E7144"/>
    <w:rsid w:val="006F41C9"/>
    <w:rsid w:val="006F62A1"/>
    <w:rsid w:val="006F6D24"/>
    <w:rsid w:val="006F740B"/>
    <w:rsid w:val="0070082C"/>
    <w:rsid w:val="0070112D"/>
    <w:rsid w:val="00704A6A"/>
    <w:rsid w:val="007067EA"/>
    <w:rsid w:val="00714D75"/>
    <w:rsid w:val="00717118"/>
    <w:rsid w:val="007172DD"/>
    <w:rsid w:val="00720E89"/>
    <w:rsid w:val="0072727D"/>
    <w:rsid w:val="007276CD"/>
    <w:rsid w:val="007306DA"/>
    <w:rsid w:val="00730A36"/>
    <w:rsid w:val="007371EB"/>
    <w:rsid w:val="0074178D"/>
    <w:rsid w:val="007422EA"/>
    <w:rsid w:val="007447DC"/>
    <w:rsid w:val="00745C2D"/>
    <w:rsid w:val="00752306"/>
    <w:rsid w:val="00752A0C"/>
    <w:rsid w:val="007532D6"/>
    <w:rsid w:val="007542D8"/>
    <w:rsid w:val="00755BED"/>
    <w:rsid w:val="0075622E"/>
    <w:rsid w:val="00756A4C"/>
    <w:rsid w:val="00760700"/>
    <w:rsid w:val="0076073C"/>
    <w:rsid w:val="00762626"/>
    <w:rsid w:val="00765E86"/>
    <w:rsid w:val="00770E9E"/>
    <w:rsid w:val="00771664"/>
    <w:rsid w:val="00774F3A"/>
    <w:rsid w:val="007750FB"/>
    <w:rsid w:val="00775A88"/>
    <w:rsid w:val="0077683E"/>
    <w:rsid w:val="00777AF9"/>
    <w:rsid w:val="007804BB"/>
    <w:rsid w:val="007804EB"/>
    <w:rsid w:val="00780DB6"/>
    <w:rsid w:val="0078112E"/>
    <w:rsid w:val="00781689"/>
    <w:rsid w:val="00785450"/>
    <w:rsid w:val="007860D3"/>
    <w:rsid w:val="00786A7D"/>
    <w:rsid w:val="00790875"/>
    <w:rsid w:val="00791DEA"/>
    <w:rsid w:val="007921BD"/>
    <w:rsid w:val="00793867"/>
    <w:rsid w:val="00795B75"/>
    <w:rsid w:val="00795F2E"/>
    <w:rsid w:val="007A0BD3"/>
    <w:rsid w:val="007A1D02"/>
    <w:rsid w:val="007A1DB7"/>
    <w:rsid w:val="007A30AE"/>
    <w:rsid w:val="007A4150"/>
    <w:rsid w:val="007A6DF1"/>
    <w:rsid w:val="007B0862"/>
    <w:rsid w:val="007B0AF3"/>
    <w:rsid w:val="007B3192"/>
    <w:rsid w:val="007B49D1"/>
    <w:rsid w:val="007B697C"/>
    <w:rsid w:val="007B7F69"/>
    <w:rsid w:val="007C0DA6"/>
    <w:rsid w:val="007C1116"/>
    <w:rsid w:val="007C434C"/>
    <w:rsid w:val="007C5944"/>
    <w:rsid w:val="007C5EF3"/>
    <w:rsid w:val="007D1536"/>
    <w:rsid w:val="007D16EC"/>
    <w:rsid w:val="007D26AA"/>
    <w:rsid w:val="007D5657"/>
    <w:rsid w:val="007D6E23"/>
    <w:rsid w:val="007D71CB"/>
    <w:rsid w:val="007E033D"/>
    <w:rsid w:val="007E46E5"/>
    <w:rsid w:val="007E578A"/>
    <w:rsid w:val="007E5D7B"/>
    <w:rsid w:val="007E757F"/>
    <w:rsid w:val="007F6314"/>
    <w:rsid w:val="007F67C0"/>
    <w:rsid w:val="007F6F11"/>
    <w:rsid w:val="00801C95"/>
    <w:rsid w:val="0080406B"/>
    <w:rsid w:val="0080674D"/>
    <w:rsid w:val="00806E70"/>
    <w:rsid w:val="00810D25"/>
    <w:rsid w:val="008115E3"/>
    <w:rsid w:val="00812236"/>
    <w:rsid w:val="00812C45"/>
    <w:rsid w:val="00815247"/>
    <w:rsid w:val="00815419"/>
    <w:rsid w:val="008169C8"/>
    <w:rsid w:val="00816DA2"/>
    <w:rsid w:val="00821080"/>
    <w:rsid w:val="008240DA"/>
    <w:rsid w:val="00825DBB"/>
    <w:rsid w:val="00827161"/>
    <w:rsid w:val="00831937"/>
    <w:rsid w:val="00833012"/>
    <w:rsid w:val="00835167"/>
    <w:rsid w:val="008402DA"/>
    <w:rsid w:val="00844BD0"/>
    <w:rsid w:val="00844F5B"/>
    <w:rsid w:val="0084507B"/>
    <w:rsid w:val="008469AC"/>
    <w:rsid w:val="00847CDB"/>
    <w:rsid w:val="00847DC9"/>
    <w:rsid w:val="008508D1"/>
    <w:rsid w:val="00850FA9"/>
    <w:rsid w:val="00852F03"/>
    <w:rsid w:val="0085396C"/>
    <w:rsid w:val="00855313"/>
    <w:rsid w:val="008557D2"/>
    <w:rsid w:val="00857145"/>
    <w:rsid w:val="00857CB0"/>
    <w:rsid w:val="0086309F"/>
    <w:rsid w:val="00863808"/>
    <w:rsid w:val="00864C68"/>
    <w:rsid w:val="008707D3"/>
    <w:rsid w:val="008712A7"/>
    <w:rsid w:val="00872AD6"/>
    <w:rsid w:val="00874402"/>
    <w:rsid w:val="00874EAD"/>
    <w:rsid w:val="00875781"/>
    <w:rsid w:val="0087697B"/>
    <w:rsid w:val="00877325"/>
    <w:rsid w:val="0088182E"/>
    <w:rsid w:val="008858C5"/>
    <w:rsid w:val="008864B6"/>
    <w:rsid w:val="00887369"/>
    <w:rsid w:val="00887E98"/>
    <w:rsid w:val="0089099C"/>
    <w:rsid w:val="00891856"/>
    <w:rsid w:val="008936C9"/>
    <w:rsid w:val="008953EC"/>
    <w:rsid w:val="00897AF9"/>
    <w:rsid w:val="008A01B9"/>
    <w:rsid w:val="008A15DF"/>
    <w:rsid w:val="008A40A2"/>
    <w:rsid w:val="008A5142"/>
    <w:rsid w:val="008A5743"/>
    <w:rsid w:val="008A57F1"/>
    <w:rsid w:val="008A6438"/>
    <w:rsid w:val="008A772C"/>
    <w:rsid w:val="008B2196"/>
    <w:rsid w:val="008B435D"/>
    <w:rsid w:val="008B48E8"/>
    <w:rsid w:val="008B5C5F"/>
    <w:rsid w:val="008C248B"/>
    <w:rsid w:val="008C4473"/>
    <w:rsid w:val="008D0370"/>
    <w:rsid w:val="008D084F"/>
    <w:rsid w:val="008D0E49"/>
    <w:rsid w:val="008D1F9F"/>
    <w:rsid w:val="008D25A3"/>
    <w:rsid w:val="008D33AE"/>
    <w:rsid w:val="008D4BC8"/>
    <w:rsid w:val="008E1958"/>
    <w:rsid w:val="008E4073"/>
    <w:rsid w:val="008E4F58"/>
    <w:rsid w:val="008E5473"/>
    <w:rsid w:val="008E6C6E"/>
    <w:rsid w:val="008F08AC"/>
    <w:rsid w:val="008F1543"/>
    <w:rsid w:val="008F1561"/>
    <w:rsid w:val="008F1F89"/>
    <w:rsid w:val="008F244B"/>
    <w:rsid w:val="008F3357"/>
    <w:rsid w:val="008F3B8A"/>
    <w:rsid w:val="008F7D36"/>
    <w:rsid w:val="008F7E0F"/>
    <w:rsid w:val="008F7EC9"/>
    <w:rsid w:val="009054FA"/>
    <w:rsid w:val="00907CB2"/>
    <w:rsid w:val="0091004E"/>
    <w:rsid w:val="009118EE"/>
    <w:rsid w:val="00915303"/>
    <w:rsid w:val="00920173"/>
    <w:rsid w:val="009201B0"/>
    <w:rsid w:val="009215B3"/>
    <w:rsid w:val="00921B8D"/>
    <w:rsid w:val="0092271D"/>
    <w:rsid w:val="009230EC"/>
    <w:rsid w:val="009237D4"/>
    <w:rsid w:val="00923BA7"/>
    <w:rsid w:val="00931159"/>
    <w:rsid w:val="00935941"/>
    <w:rsid w:val="009369DE"/>
    <w:rsid w:val="009400B2"/>
    <w:rsid w:val="009408ED"/>
    <w:rsid w:val="00942CAE"/>
    <w:rsid w:val="009438A1"/>
    <w:rsid w:val="009452B7"/>
    <w:rsid w:val="009551DA"/>
    <w:rsid w:val="00955B71"/>
    <w:rsid w:val="009578B1"/>
    <w:rsid w:val="0096282B"/>
    <w:rsid w:val="00962BC4"/>
    <w:rsid w:val="009635C9"/>
    <w:rsid w:val="00963F13"/>
    <w:rsid w:val="009640A3"/>
    <w:rsid w:val="009677C8"/>
    <w:rsid w:val="00967AF1"/>
    <w:rsid w:val="00972115"/>
    <w:rsid w:val="009724A5"/>
    <w:rsid w:val="00974D05"/>
    <w:rsid w:val="0097729C"/>
    <w:rsid w:val="00977356"/>
    <w:rsid w:val="00977A11"/>
    <w:rsid w:val="00980B38"/>
    <w:rsid w:val="00980DAF"/>
    <w:rsid w:val="009833E8"/>
    <w:rsid w:val="00983E94"/>
    <w:rsid w:val="0098463D"/>
    <w:rsid w:val="00984ABF"/>
    <w:rsid w:val="00991FF5"/>
    <w:rsid w:val="009952FA"/>
    <w:rsid w:val="00995864"/>
    <w:rsid w:val="009961F2"/>
    <w:rsid w:val="009A102D"/>
    <w:rsid w:val="009A1E27"/>
    <w:rsid w:val="009A3879"/>
    <w:rsid w:val="009A5309"/>
    <w:rsid w:val="009A69C0"/>
    <w:rsid w:val="009B0E84"/>
    <w:rsid w:val="009B0F4B"/>
    <w:rsid w:val="009B58BF"/>
    <w:rsid w:val="009B5D0C"/>
    <w:rsid w:val="009B6AD0"/>
    <w:rsid w:val="009C058B"/>
    <w:rsid w:val="009C156D"/>
    <w:rsid w:val="009C2014"/>
    <w:rsid w:val="009C4225"/>
    <w:rsid w:val="009C64C9"/>
    <w:rsid w:val="009C6911"/>
    <w:rsid w:val="009C7996"/>
    <w:rsid w:val="009D1645"/>
    <w:rsid w:val="009D3F31"/>
    <w:rsid w:val="009D72DE"/>
    <w:rsid w:val="009E08DD"/>
    <w:rsid w:val="009E0F2F"/>
    <w:rsid w:val="009E2D9E"/>
    <w:rsid w:val="009E3DC6"/>
    <w:rsid w:val="009E40D9"/>
    <w:rsid w:val="009E5E14"/>
    <w:rsid w:val="009E6024"/>
    <w:rsid w:val="009E74E9"/>
    <w:rsid w:val="009F5C06"/>
    <w:rsid w:val="00A006E9"/>
    <w:rsid w:val="00A05B29"/>
    <w:rsid w:val="00A05F3B"/>
    <w:rsid w:val="00A10961"/>
    <w:rsid w:val="00A1336C"/>
    <w:rsid w:val="00A1446B"/>
    <w:rsid w:val="00A14C50"/>
    <w:rsid w:val="00A15433"/>
    <w:rsid w:val="00A15CCB"/>
    <w:rsid w:val="00A1632E"/>
    <w:rsid w:val="00A16B5C"/>
    <w:rsid w:val="00A20918"/>
    <w:rsid w:val="00A22358"/>
    <w:rsid w:val="00A2412D"/>
    <w:rsid w:val="00A24418"/>
    <w:rsid w:val="00A2465E"/>
    <w:rsid w:val="00A2472C"/>
    <w:rsid w:val="00A248A1"/>
    <w:rsid w:val="00A25401"/>
    <w:rsid w:val="00A254A2"/>
    <w:rsid w:val="00A263E8"/>
    <w:rsid w:val="00A277BC"/>
    <w:rsid w:val="00A33786"/>
    <w:rsid w:val="00A338C3"/>
    <w:rsid w:val="00A3523A"/>
    <w:rsid w:val="00A4124A"/>
    <w:rsid w:val="00A43109"/>
    <w:rsid w:val="00A44342"/>
    <w:rsid w:val="00A446A0"/>
    <w:rsid w:val="00A4481C"/>
    <w:rsid w:val="00A44B94"/>
    <w:rsid w:val="00A44D5A"/>
    <w:rsid w:val="00A52015"/>
    <w:rsid w:val="00A55203"/>
    <w:rsid w:val="00A65169"/>
    <w:rsid w:val="00A6565A"/>
    <w:rsid w:val="00A660B0"/>
    <w:rsid w:val="00A70F39"/>
    <w:rsid w:val="00A7391F"/>
    <w:rsid w:val="00A73BFB"/>
    <w:rsid w:val="00A801F2"/>
    <w:rsid w:val="00A80823"/>
    <w:rsid w:val="00A81DBF"/>
    <w:rsid w:val="00A81EDB"/>
    <w:rsid w:val="00A85AFD"/>
    <w:rsid w:val="00A85F8D"/>
    <w:rsid w:val="00A8634F"/>
    <w:rsid w:val="00A86C48"/>
    <w:rsid w:val="00A87884"/>
    <w:rsid w:val="00A9106F"/>
    <w:rsid w:val="00A91519"/>
    <w:rsid w:val="00A947B2"/>
    <w:rsid w:val="00A97044"/>
    <w:rsid w:val="00A976DB"/>
    <w:rsid w:val="00AA04E2"/>
    <w:rsid w:val="00AA0672"/>
    <w:rsid w:val="00AA0EA9"/>
    <w:rsid w:val="00AA4D48"/>
    <w:rsid w:val="00AA4E84"/>
    <w:rsid w:val="00AB19DA"/>
    <w:rsid w:val="00AB3C3F"/>
    <w:rsid w:val="00AB5FAD"/>
    <w:rsid w:val="00AB7A5B"/>
    <w:rsid w:val="00AB7D32"/>
    <w:rsid w:val="00AC0F14"/>
    <w:rsid w:val="00AC4F1B"/>
    <w:rsid w:val="00AC6A97"/>
    <w:rsid w:val="00AC771D"/>
    <w:rsid w:val="00AC787A"/>
    <w:rsid w:val="00AD08B2"/>
    <w:rsid w:val="00AD1685"/>
    <w:rsid w:val="00AD2966"/>
    <w:rsid w:val="00AD45ED"/>
    <w:rsid w:val="00AD6176"/>
    <w:rsid w:val="00AD672F"/>
    <w:rsid w:val="00AD73D3"/>
    <w:rsid w:val="00AE033A"/>
    <w:rsid w:val="00AE0AA7"/>
    <w:rsid w:val="00AE109F"/>
    <w:rsid w:val="00AE4745"/>
    <w:rsid w:val="00AE5E09"/>
    <w:rsid w:val="00AE6019"/>
    <w:rsid w:val="00AF5ABD"/>
    <w:rsid w:val="00AF67C9"/>
    <w:rsid w:val="00AF6C6B"/>
    <w:rsid w:val="00B00555"/>
    <w:rsid w:val="00B007F5"/>
    <w:rsid w:val="00B01B7C"/>
    <w:rsid w:val="00B07458"/>
    <w:rsid w:val="00B076B8"/>
    <w:rsid w:val="00B07C84"/>
    <w:rsid w:val="00B12CC7"/>
    <w:rsid w:val="00B13341"/>
    <w:rsid w:val="00B138BF"/>
    <w:rsid w:val="00B205A3"/>
    <w:rsid w:val="00B2466B"/>
    <w:rsid w:val="00B26E00"/>
    <w:rsid w:val="00B30F79"/>
    <w:rsid w:val="00B322B6"/>
    <w:rsid w:val="00B329D7"/>
    <w:rsid w:val="00B32B5F"/>
    <w:rsid w:val="00B40580"/>
    <w:rsid w:val="00B40AA4"/>
    <w:rsid w:val="00B4596E"/>
    <w:rsid w:val="00B45ACE"/>
    <w:rsid w:val="00B4792A"/>
    <w:rsid w:val="00B503DB"/>
    <w:rsid w:val="00B50741"/>
    <w:rsid w:val="00B54A5B"/>
    <w:rsid w:val="00B54D9F"/>
    <w:rsid w:val="00B551C8"/>
    <w:rsid w:val="00B60FA7"/>
    <w:rsid w:val="00B618EA"/>
    <w:rsid w:val="00B626AE"/>
    <w:rsid w:val="00B629DE"/>
    <w:rsid w:val="00B63007"/>
    <w:rsid w:val="00B6359E"/>
    <w:rsid w:val="00B6394A"/>
    <w:rsid w:val="00B657E4"/>
    <w:rsid w:val="00B670F1"/>
    <w:rsid w:val="00B67726"/>
    <w:rsid w:val="00B72DBD"/>
    <w:rsid w:val="00B736F2"/>
    <w:rsid w:val="00B74092"/>
    <w:rsid w:val="00B76397"/>
    <w:rsid w:val="00B8002E"/>
    <w:rsid w:val="00B81248"/>
    <w:rsid w:val="00B827F2"/>
    <w:rsid w:val="00B82D9B"/>
    <w:rsid w:val="00B927FA"/>
    <w:rsid w:val="00B93454"/>
    <w:rsid w:val="00B93BEF"/>
    <w:rsid w:val="00B94697"/>
    <w:rsid w:val="00B94DE3"/>
    <w:rsid w:val="00B96075"/>
    <w:rsid w:val="00BA0E26"/>
    <w:rsid w:val="00BA29DB"/>
    <w:rsid w:val="00BA310B"/>
    <w:rsid w:val="00BA41A9"/>
    <w:rsid w:val="00BB01C7"/>
    <w:rsid w:val="00BB0D53"/>
    <w:rsid w:val="00BB1A5E"/>
    <w:rsid w:val="00BB21BB"/>
    <w:rsid w:val="00BB2B49"/>
    <w:rsid w:val="00BB7AF9"/>
    <w:rsid w:val="00BB7F00"/>
    <w:rsid w:val="00BC002E"/>
    <w:rsid w:val="00BC42C7"/>
    <w:rsid w:val="00BC4F7B"/>
    <w:rsid w:val="00BC7D22"/>
    <w:rsid w:val="00BD03F7"/>
    <w:rsid w:val="00BD05E8"/>
    <w:rsid w:val="00BD1FC9"/>
    <w:rsid w:val="00BD28E1"/>
    <w:rsid w:val="00BD2BD2"/>
    <w:rsid w:val="00BD3726"/>
    <w:rsid w:val="00BD3FEE"/>
    <w:rsid w:val="00BD40D8"/>
    <w:rsid w:val="00BD4AA6"/>
    <w:rsid w:val="00BD5AFE"/>
    <w:rsid w:val="00BD6045"/>
    <w:rsid w:val="00BD7174"/>
    <w:rsid w:val="00BE15E4"/>
    <w:rsid w:val="00BE1985"/>
    <w:rsid w:val="00BE34AD"/>
    <w:rsid w:val="00BE7DEB"/>
    <w:rsid w:val="00BF0183"/>
    <w:rsid w:val="00BF47B0"/>
    <w:rsid w:val="00BF4CCA"/>
    <w:rsid w:val="00BF4D93"/>
    <w:rsid w:val="00BF6248"/>
    <w:rsid w:val="00BF6B85"/>
    <w:rsid w:val="00BF6DA7"/>
    <w:rsid w:val="00BF6FD6"/>
    <w:rsid w:val="00BF7B11"/>
    <w:rsid w:val="00C0032E"/>
    <w:rsid w:val="00C014CB"/>
    <w:rsid w:val="00C01CFB"/>
    <w:rsid w:val="00C034F4"/>
    <w:rsid w:val="00C03870"/>
    <w:rsid w:val="00C05844"/>
    <w:rsid w:val="00C1021D"/>
    <w:rsid w:val="00C11B54"/>
    <w:rsid w:val="00C1365B"/>
    <w:rsid w:val="00C15E91"/>
    <w:rsid w:val="00C16296"/>
    <w:rsid w:val="00C16C68"/>
    <w:rsid w:val="00C211DE"/>
    <w:rsid w:val="00C211DF"/>
    <w:rsid w:val="00C21225"/>
    <w:rsid w:val="00C253D8"/>
    <w:rsid w:val="00C267AF"/>
    <w:rsid w:val="00C26C24"/>
    <w:rsid w:val="00C338BC"/>
    <w:rsid w:val="00C34E59"/>
    <w:rsid w:val="00C36C5D"/>
    <w:rsid w:val="00C37C8A"/>
    <w:rsid w:val="00C41FFB"/>
    <w:rsid w:val="00C423D2"/>
    <w:rsid w:val="00C4521E"/>
    <w:rsid w:val="00C461A7"/>
    <w:rsid w:val="00C47460"/>
    <w:rsid w:val="00C50310"/>
    <w:rsid w:val="00C50A4A"/>
    <w:rsid w:val="00C53DF3"/>
    <w:rsid w:val="00C561D4"/>
    <w:rsid w:val="00C60E67"/>
    <w:rsid w:val="00C6161F"/>
    <w:rsid w:val="00C62E1B"/>
    <w:rsid w:val="00C634D5"/>
    <w:rsid w:val="00C65072"/>
    <w:rsid w:val="00C65A9C"/>
    <w:rsid w:val="00C712C4"/>
    <w:rsid w:val="00C71790"/>
    <w:rsid w:val="00C71941"/>
    <w:rsid w:val="00C71C82"/>
    <w:rsid w:val="00C727F8"/>
    <w:rsid w:val="00C73A75"/>
    <w:rsid w:val="00C74BC5"/>
    <w:rsid w:val="00C80F51"/>
    <w:rsid w:val="00C83381"/>
    <w:rsid w:val="00C857C8"/>
    <w:rsid w:val="00C908AD"/>
    <w:rsid w:val="00C90E31"/>
    <w:rsid w:val="00C91201"/>
    <w:rsid w:val="00C912C4"/>
    <w:rsid w:val="00C923FF"/>
    <w:rsid w:val="00C93945"/>
    <w:rsid w:val="00C94E88"/>
    <w:rsid w:val="00C95F78"/>
    <w:rsid w:val="00C97697"/>
    <w:rsid w:val="00C97C4E"/>
    <w:rsid w:val="00CA0340"/>
    <w:rsid w:val="00CA0D3D"/>
    <w:rsid w:val="00CA146B"/>
    <w:rsid w:val="00CA4626"/>
    <w:rsid w:val="00CA6A0D"/>
    <w:rsid w:val="00CA74B4"/>
    <w:rsid w:val="00CA7B3E"/>
    <w:rsid w:val="00CB058D"/>
    <w:rsid w:val="00CB1678"/>
    <w:rsid w:val="00CB1A61"/>
    <w:rsid w:val="00CB2044"/>
    <w:rsid w:val="00CB22B9"/>
    <w:rsid w:val="00CB2335"/>
    <w:rsid w:val="00CB2640"/>
    <w:rsid w:val="00CB5464"/>
    <w:rsid w:val="00CB6DF9"/>
    <w:rsid w:val="00CC17F7"/>
    <w:rsid w:val="00CC28CF"/>
    <w:rsid w:val="00CC39FF"/>
    <w:rsid w:val="00CC3AD0"/>
    <w:rsid w:val="00CC52D6"/>
    <w:rsid w:val="00CC62F9"/>
    <w:rsid w:val="00CC7AA2"/>
    <w:rsid w:val="00CD0DF6"/>
    <w:rsid w:val="00CD1B95"/>
    <w:rsid w:val="00CD1DB9"/>
    <w:rsid w:val="00CD3BAF"/>
    <w:rsid w:val="00CD78AF"/>
    <w:rsid w:val="00CE0230"/>
    <w:rsid w:val="00CE1056"/>
    <w:rsid w:val="00CE2BC8"/>
    <w:rsid w:val="00CE5971"/>
    <w:rsid w:val="00CE7319"/>
    <w:rsid w:val="00CE7D1C"/>
    <w:rsid w:val="00CF4D0F"/>
    <w:rsid w:val="00CF50E2"/>
    <w:rsid w:val="00CF548B"/>
    <w:rsid w:val="00CF6494"/>
    <w:rsid w:val="00CF7362"/>
    <w:rsid w:val="00CF7653"/>
    <w:rsid w:val="00CF77B6"/>
    <w:rsid w:val="00CF7F5E"/>
    <w:rsid w:val="00D005A2"/>
    <w:rsid w:val="00D01B4B"/>
    <w:rsid w:val="00D024EA"/>
    <w:rsid w:val="00D0507E"/>
    <w:rsid w:val="00D06EC5"/>
    <w:rsid w:val="00D108DB"/>
    <w:rsid w:val="00D11207"/>
    <w:rsid w:val="00D11AEF"/>
    <w:rsid w:val="00D13525"/>
    <w:rsid w:val="00D14A68"/>
    <w:rsid w:val="00D1704D"/>
    <w:rsid w:val="00D21966"/>
    <w:rsid w:val="00D226FA"/>
    <w:rsid w:val="00D22C0F"/>
    <w:rsid w:val="00D23A26"/>
    <w:rsid w:val="00D245CE"/>
    <w:rsid w:val="00D25020"/>
    <w:rsid w:val="00D270B3"/>
    <w:rsid w:val="00D30441"/>
    <w:rsid w:val="00D335C7"/>
    <w:rsid w:val="00D4157C"/>
    <w:rsid w:val="00D41B77"/>
    <w:rsid w:val="00D42C14"/>
    <w:rsid w:val="00D43549"/>
    <w:rsid w:val="00D46B73"/>
    <w:rsid w:val="00D46DC4"/>
    <w:rsid w:val="00D50FDC"/>
    <w:rsid w:val="00D51917"/>
    <w:rsid w:val="00D519EB"/>
    <w:rsid w:val="00D52025"/>
    <w:rsid w:val="00D5564B"/>
    <w:rsid w:val="00D569AB"/>
    <w:rsid w:val="00D576CC"/>
    <w:rsid w:val="00D60199"/>
    <w:rsid w:val="00D60E8F"/>
    <w:rsid w:val="00D61DF2"/>
    <w:rsid w:val="00D62DF7"/>
    <w:rsid w:val="00D64251"/>
    <w:rsid w:val="00D66AE4"/>
    <w:rsid w:val="00D67E15"/>
    <w:rsid w:val="00D702A0"/>
    <w:rsid w:val="00D71004"/>
    <w:rsid w:val="00D76329"/>
    <w:rsid w:val="00D76548"/>
    <w:rsid w:val="00D76DF2"/>
    <w:rsid w:val="00D77197"/>
    <w:rsid w:val="00D83EE1"/>
    <w:rsid w:val="00D84B47"/>
    <w:rsid w:val="00D8636F"/>
    <w:rsid w:val="00D90EEF"/>
    <w:rsid w:val="00D922A3"/>
    <w:rsid w:val="00D939AE"/>
    <w:rsid w:val="00D940F7"/>
    <w:rsid w:val="00D95D9A"/>
    <w:rsid w:val="00DA16BF"/>
    <w:rsid w:val="00DA3BD0"/>
    <w:rsid w:val="00DA4937"/>
    <w:rsid w:val="00DA4BA9"/>
    <w:rsid w:val="00DA55AC"/>
    <w:rsid w:val="00DA6079"/>
    <w:rsid w:val="00DA6552"/>
    <w:rsid w:val="00DB2B3E"/>
    <w:rsid w:val="00DB2D0B"/>
    <w:rsid w:val="00DB326D"/>
    <w:rsid w:val="00DB3513"/>
    <w:rsid w:val="00DB4477"/>
    <w:rsid w:val="00DB7EF0"/>
    <w:rsid w:val="00DC4285"/>
    <w:rsid w:val="00DC463D"/>
    <w:rsid w:val="00DC4DC4"/>
    <w:rsid w:val="00DC7724"/>
    <w:rsid w:val="00DC7EB7"/>
    <w:rsid w:val="00DD0E9D"/>
    <w:rsid w:val="00DD1106"/>
    <w:rsid w:val="00DD19C3"/>
    <w:rsid w:val="00DD3FBC"/>
    <w:rsid w:val="00DD5568"/>
    <w:rsid w:val="00DD63C3"/>
    <w:rsid w:val="00DD7866"/>
    <w:rsid w:val="00DD7B4C"/>
    <w:rsid w:val="00DD7CF4"/>
    <w:rsid w:val="00DE073A"/>
    <w:rsid w:val="00DE1597"/>
    <w:rsid w:val="00DE2CF5"/>
    <w:rsid w:val="00DE3B46"/>
    <w:rsid w:val="00DE40B1"/>
    <w:rsid w:val="00DE457B"/>
    <w:rsid w:val="00DE5C81"/>
    <w:rsid w:val="00DE612C"/>
    <w:rsid w:val="00DE6CDE"/>
    <w:rsid w:val="00DE7E66"/>
    <w:rsid w:val="00DF0CBD"/>
    <w:rsid w:val="00DF1021"/>
    <w:rsid w:val="00DF115D"/>
    <w:rsid w:val="00DF38A2"/>
    <w:rsid w:val="00DF6B5F"/>
    <w:rsid w:val="00E0446A"/>
    <w:rsid w:val="00E04D32"/>
    <w:rsid w:val="00E05F3C"/>
    <w:rsid w:val="00E065E2"/>
    <w:rsid w:val="00E06E3A"/>
    <w:rsid w:val="00E12830"/>
    <w:rsid w:val="00E13329"/>
    <w:rsid w:val="00E14BEC"/>
    <w:rsid w:val="00E15ACA"/>
    <w:rsid w:val="00E1607E"/>
    <w:rsid w:val="00E210D2"/>
    <w:rsid w:val="00E2278F"/>
    <w:rsid w:val="00E2720C"/>
    <w:rsid w:val="00E27E7D"/>
    <w:rsid w:val="00E30183"/>
    <w:rsid w:val="00E328A3"/>
    <w:rsid w:val="00E33C4A"/>
    <w:rsid w:val="00E33D5F"/>
    <w:rsid w:val="00E3629A"/>
    <w:rsid w:val="00E40A82"/>
    <w:rsid w:val="00E41D6C"/>
    <w:rsid w:val="00E42268"/>
    <w:rsid w:val="00E449DA"/>
    <w:rsid w:val="00E473B7"/>
    <w:rsid w:val="00E476E5"/>
    <w:rsid w:val="00E47712"/>
    <w:rsid w:val="00E50F54"/>
    <w:rsid w:val="00E52764"/>
    <w:rsid w:val="00E5282F"/>
    <w:rsid w:val="00E52843"/>
    <w:rsid w:val="00E54DD2"/>
    <w:rsid w:val="00E578FB"/>
    <w:rsid w:val="00E60064"/>
    <w:rsid w:val="00E60229"/>
    <w:rsid w:val="00E60460"/>
    <w:rsid w:val="00E606C4"/>
    <w:rsid w:val="00E62302"/>
    <w:rsid w:val="00E62879"/>
    <w:rsid w:val="00E63CDC"/>
    <w:rsid w:val="00E64406"/>
    <w:rsid w:val="00E64855"/>
    <w:rsid w:val="00E655D5"/>
    <w:rsid w:val="00E66619"/>
    <w:rsid w:val="00E70D91"/>
    <w:rsid w:val="00E7292A"/>
    <w:rsid w:val="00E746D3"/>
    <w:rsid w:val="00E758E8"/>
    <w:rsid w:val="00E8024D"/>
    <w:rsid w:val="00E81BF7"/>
    <w:rsid w:val="00E84845"/>
    <w:rsid w:val="00E8502A"/>
    <w:rsid w:val="00E85258"/>
    <w:rsid w:val="00E86723"/>
    <w:rsid w:val="00E902CB"/>
    <w:rsid w:val="00E904D2"/>
    <w:rsid w:val="00E90BA9"/>
    <w:rsid w:val="00E91C98"/>
    <w:rsid w:val="00E96C66"/>
    <w:rsid w:val="00EA21DE"/>
    <w:rsid w:val="00EA22A2"/>
    <w:rsid w:val="00EA3631"/>
    <w:rsid w:val="00EA6997"/>
    <w:rsid w:val="00EA750F"/>
    <w:rsid w:val="00EB01A9"/>
    <w:rsid w:val="00EB040E"/>
    <w:rsid w:val="00EB18EB"/>
    <w:rsid w:val="00EB260C"/>
    <w:rsid w:val="00EB4C4E"/>
    <w:rsid w:val="00EB51D4"/>
    <w:rsid w:val="00EB593D"/>
    <w:rsid w:val="00EB69A7"/>
    <w:rsid w:val="00EC1B7A"/>
    <w:rsid w:val="00EC1F44"/>
    <w:rsid w:val="00EC2F88"/>
    <w:rsid w:val="00EC30EA"/>
    <w:rsid w:val="00EC3329"/>
    <w:rsid w:val="00EC3AED"/>
    <w:rsid w:val="00EC3B86"/>
    <w:rsid w:val="00EC3E5E"/>
    <w:rsid w:val="00EC72C2"/>
    <w:rsid w:val="00ED1A56"/>
    <w:rsid w:val="00ED2536"/>
    <w:rsid w:val="00ED42CB"/>
    <w:rsid w:val="00ED7597"/>
    <w:rsid w:val="00ED75D1"/>
    <w:rsid w:val="00EE2E50"/>
    <w:rsid w:val="00EE62EF"/>
    <w:rsid w:val="00EE7781"/>
    <w:rsid w:val="00EE7E6C"/>
    <w:rsid w:val="00EF17E1"/>
    <w:rsid w:val="00EF3CDB"/>
    <w:rsid w:val="00EF420D"/>
    <w:rsid w:val="00EF5B91"/>
    <w:rsid w:val="00EF649D"/>
    <w:rsid w:val="00EF777A"/>
    <w:rsid w:val="00F01D0F"/>
    <w:rsid w:val="00F030A6"/>
    <w:rsid w:val="00F03DED"/>
    <w:rsid w:val="00F04F6F"/>
    <w:rsid w:val="00F07499"/>
    <w:rsid w:val="00F11C14"/>
    <w:rsid w:val="00F11E33"/>
    <w:rsid w:val="00F1318D"/>
    <w:rsid w:val="00F13B14"/>
    <w:rsid w:val="00F1465A"/>
    <w:rsid w:val="00F14790"/>
    <w:rsid w:val="00F243E1"/>
    <w:rsid w:val="00F24E89"/>
    <w:rsid w:val="00F32520"/>
    <w:rsid w:val="00F34338"/>
    <w:rsid w:val="00F3677B"/>
    <w:rsid w:val="00F374E7"/>
    <w:rsid w:val="00F40676"/>
    <w:rsid w:val="00F40C02"/>
    <w:rsid w:val="00F419DB"/>
    <w:rsid w:val="00F42213"/>
    <w:rsid w:val="00F42868"/>
    <w:rsid w:val="00F42D01"/>
    <w:rsid w:val="00F46951"/>
    <w:rsid w:val="00F519DF"/>
    <w:rsid w:val="00F55E11"/>
    <w:rsid w:val="00F560C4"/>
    <w:rsid w:val="00F561D4"/>
    <w:rsid w:val="00F62BE8"/>
    <w:rsid w:val="00F65921"/>
    <w:rsid w:val="00F70322"/>
    <w:rsid w:val="00F708FA"/>
    <w:rsid w:val="00F75B68"/>
    <w:rsid w:val="00F77BE7"/>
    <w:rsid w:val="00F81E0F"/>
    <w:rsid w:val="00F84E9B"/>
    <w:rsid w:val="00F85255"/>
    <w:rsid w:val="00F86940"/>
    <w:rsid w:val="00F87634"/>
    <w:rsid w:val="00F87EA0"/>
    <w:rsid w:val="00F919B1"/>
    <w:rsid w:val="00F9547D"/>
    <w:rsid w:val="00FA139D"/>
    <w:rsid w:val="00FA2AB3"/>
    <w:rsid w:val="00FA3761"/>
    <w:rsid w:val="00FA3B5F"/>
    <w:rsid w:val="00FA417A"/>
    <w:rsid w:val="00FA4585"/>
    <w:rsid w:val="00FA55AC"/>
    <w:rsid w:val="00FA5BA0"/>
    <w:rsid w:val="00FB0A29"/>
    <w:rsid w:val="00FB1130"/>
    <w:rsid w:val="00FB195D"/>
    <w:rsid w:val="00FB69BF"/>
    <w:rsid w:val="00FC00F3"/>
    <w:rsid w:val="00FC10E0"/>
    <w:rsid w:val="00FC20B2"/>
    <w:rsid w:val="00FC5BDD"/>
    <w:rsid w:val="00FC7B85"/>
    <w:rsid w:val="00FC7F48"/>
    <w:rsid w:val="00FD0A79"/>
    <w:rsid w:val="00FD3F38"/>
    <w:rsid w:val="00FD6457"/>
    <w:rsid w:val="00FD65E9"/>
    <w:rsid w:val="00FD6AF1"/>
    <w:rsid w:val="00FE20A5"/>
    <w:rsid w:val="00FE2EFB"/>
    <w:rsid w:val="00FE2F9D"/>
    <w:rsid w:val="00FE424A"/>
    <w:rsid w:val="00FE4288"/>
    <w:rsid w:val="00FE4FCB"/>
    <w:rsid w:val="00FE51FE"/>
    <w:rsid w:val="00FE67B9"/>
    <w:rsid w:val="00FF160E"/>
    <w:rsid w:val="00FF2C6C"/>
    <w:rsid w:val="00FF3718"/>
    <w:rsid w:val="00FF468C"/>
    <w:rsid w:val="00FF5530"/>
    <w:rsid w:val="00FF7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EFF9E9-C273-40DF-A58F-484F92B47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C10E0"/>
  </w:style>
  <w:style w:type="paragraph" w:styleId="Heading1">
    <w:name w:val="heading 1"/>
    <w:basedOn w:val="Normal"/>
    <w:next w:val="Normal"/>
    <w:link w:val="Heading1Char"/>
    <w:uiPriority w:val="9"/>
    <w:qFormat/>
    <w:rsid w:val="00793867"/>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2D8"/>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752C"/>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7197"/>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6D0C"/>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6D0C"/>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6D0C"/>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6D0C"/>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6D0C"/>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8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42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275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77197"/>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11358"/>
    <w:pPr>
      <w:ind w:left="720"/>
      <w:contextualSpacing/>
    </w:pPr>
  </w:style>
  <w:style w:type="paragraph" w:styleId="Header">
    <w:name w:val="header"/>
    <w:basedOn w:val="Normal"/>
    <w:link w:val="HeaderChar"/>
    <w:uiPriority w:val="99"/>
    <w:unhideWhenUsed/>
    <w:rsid w:val="00467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EF4"/>
  </w:style>
  <w:style w:type="paragraph" w:styleId="Footer">
    <w:name w:val="footer"/>
    <w:basedOn w:val="Normal"/>
    <w:link w:val="FooterChar"/>
    <w:uiPriority w:val="99"/>
    <w:unhideWhenUsed/>
    <w:rsid w:val="00467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EF4"/>
  </w:style>
  <w:style w:type="paragraph" w:styleId="BalloonText">
    <w:name w:val="Balloon Text"/>
    <w:basedOn w:val="Normal"/>
    <w:link w:val="BalloonTextChar"/>
    <w:uiPriority w:val="99"/>
    <w:semiHidden/>
    <w:unhideWhenUsed/>
    <w:rsid w:val="00A20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18"/>
    <w:rPr>
      <w:rFonts w:ascii="Tahoma" w:hAnsi="Tahoma" w:cs="Tahoma"/>
      <w:sz w:val="16"/>
      <w:szCs w:val="16"/>
    </w:rPr>
  </w:style>
  <w:style w:type="paragraph" w:styleId="NoSpacing">
    <w:name w:val="No Spacing"/>
    <w:link w:val="NoSpacingChar"/>
    <w:uiPriority w:val="1"/>
    <w:qFormat/>
    <w:rsid w:val="00F42D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2D01"/>
    <w:rPr>
      <w:rFonts w:eastAsiaTheme="minorEastAsia"/>
      <w:lang w:val="en-US"/>
    </w:rPr>
  </w:style>
  <w:style w:type="paragraph" w:styleId="Caption">
    <w:name w:val="caption"/>
    <w:basedOn w:val="Normal"/>
    <w:next w:val="Normal"/>
    <w:uiPriority w:val="35"/>
    <w:unhideWhenUsed/>
    <w:qFormat/>
    <w:rsid w:val="009A387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F6C6B"/>
    <w:pPr>
      <w:spacing w:after="0"/>
    </w:pPr>
  </w:style>
  <w:style w:type="character" w:styleId="Hyperlink">
    <w:name w:val="Hyperlink"/>
    <w:basedOn w:val="DefaultParagraphFont"/>
    <w:uiPriority w:val="99"/>
    <w:unhideWhenUsed/>
    <w:rsid w:val="00AF6C6B"/>
    <w:rPr>
      <w:color w:val="0000FF" w:themeColor="hyperlink"/>
      <w:u w:val="single"/>
    </w:rPr>
  </w:style>
  <w:style w:type="paragraph" w:styleId="TOCHeading">
    <w:name w:val="TOC Heading"/>
    <w:basedOn w:val="Heading1"/>
    <w:next w:val="Normal"/>
    <w:uiPriority w:val="39"/>
    <w:unhideWhenUsed/>
    <w:qFormat/>
    <w:rsid w:val="00AF6C6B"/>
    <w:pPr>
      <w:outlineLvl w:val="9"/>
    </w:pPr>
    <w:rPr>
      <w:lang w:val="en-US"/>
    </w:rPr>
  </w:style>
  <w:style w:type="paragraph" w:styleId="TOC1">
    <w:name w:val="toc 1"/>
    <w:basedOn w:val="Normal"/>
    <w:next w:val="Normal"/>
    <w:autoRedefine/>
    <w:uiPriority w:val="39"/>
    <w:unhideWhenUsed/>
    <w:rsid w:val="00AF6C6B"/>
    <w:pPr>
      <w:spacing w:after="100"/>
    </w:pPr>
  </w:style>
  <w:style w:type="paragraph" w:styleId="TOC2">
    <w:name w:val="toc 2"/>
    <w:basedOn w:val="Normal"/>
    <w:next w:val="Normal"/>
    <w:autoRedefine/>
    <w:uiPriority w:val="39"/>
    <w:unhideWhenUsed/>
    <w:rsid w:val="003D453E"/>
    <w:pPr>
      <w:tabs>
        <w:tab w:val="left" w:pos="880"/>
        <w:tab w:val="right" w:leader="dot" w:pos="9174"/>
      </w:tabs>
      <w:spacing w:after="100"/>
      <w:ind w:left="221"/>
    </w:pPr>
  </w:style>
  <w:style w:type="paragraph" w:styleId="TOC3">
    <w:name w:val="toc 3"/>
    <w:basedOn w:val="Normal"/>
    <w:next w:val="Normal"/>
    <w:autoRedefine/>
    <w:uiPriority w:val="39"/>
    <w:unhideWhenUsed/>
    <w:rsid w:val="00322342"/>
    <w:pPr>
      <w:spacing w:after="100"/>
      <w:ind w:left="440"/>
    </w:pPr>
  </w:style>
  <w:style w:type="paragraph" w:styleId="FootnoteText">
    <w:name w:val="footnote text"/>
    <w:basedOn w:val="Normal"/>
    <w:link w:val="FootnoteTextChar"/>
    <w:uiPriority w:val="99"/>
    <w:semiHidden/>
    <w:unhideWhenUsed/>
    <w:rsid w:val="00D771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197"/>
    <w:rPr>
      <w:sz w:val="20"/>
      <w:szCs w:val="20"/>
    </w:rPr>
  </w:style>
  <w:style w:type="character" w:styleId="FootnoteReference">
    <w:name w:val="footnote reference"/>
    <w:basedOn w:val="DefaultParagraphFont"/>
    <w:uiPriority w:val="99"/>
    <w:semiHidden/>
    <w:unhideWhenUsed/>
    <w:rsid w:val="00D77197"/>
    <w:rPr>
      <w:vertAlign w:val="superscript"/>
    </w:rPr>
  </w:style>
  <w:style w:type="character" w:customStyle="1" w:styleId="apple-style-span">
    <w:name w:val="apple-style-span"/>
    <w:basedOn w:val="DefaultParagraphFont"/>
    <w:rsid w:val="00341F66"/>
  </w:style>
  <w:style w:type="character" w:customStyle="1" w:styleId="apple-converted-space">
    <w:name w:val="apple-converted-space"/>
    <w:basedOn w:val="DefaultParagraphFont"/>
    <w:rsid w:val="00341F66"/>
  </w:style>
  <w:style w:type="paragraph" w:styleId="BodyText">
    <w:name w:val="Body Text"/>
    <w:basedOn w:val="Normal"/>
    <w:link w:val="BodyTextChar"/>
    <w:rsid w:val="0063252A"/>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63252A"/>
    <w:rPr>
      <w:rFonts w:ascii="Times New Roman" w:eastAsia="Arial Unicode MS" w:hAnsi="Times New Roman" w:cs="Times New Roman"/>
      <w:kern w:val="1"/>
      <w:sz w:val="24"/>
      <w:szCs w:val="24"/>
    </w:rPr>
  </w:style>
  <w:style w:type="paragraph" w:styleId="NormalWeb">
    <w:name w:val="Normal (Web)"/>
    <w:basedOn w:val="Normal"/>
    <w:uiPriority w:val="99"/>
    <w:unhideWhenUsed/>
    <w:rsid w:val="009846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8463D"/>
    <w:rPr>
      <w:b/>
      <w:bCs/>
    </w:rPr>
  </w:style>
  <w:style w:type="table" w:styleId="TableGrid">
    <w:name w:val="Table Grid"/>
    <w:basedOn w:val="TableNormal"/>
    <w:uiPriority w:val="59"/>
    <w:rsid w:val="001A153C"/>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976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semiHidden/>
    <w:rsid w:val="00256D0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6D0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6D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6D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6D0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1619">
      <w:bodyDiv w:val="1"/>
      <w:marLeft w:val="0"/>
      <w:marRight w:val="0"/>
      <w:marTop w:val="0"/>
      <w:marBottom w:val="0"/>
      <w:divBdr>
        <w:top w:val="none" w:sz="0" w:space="0" w:color="auto"/>
        <w:left w:val="none" w:sz="0" w:space="0" w:color="auto"/>
        <w:bottom w:val="none" w:sz="0" w:space="0" w:color="auto"/>
        <w:right w:val="none" w:sz="0" w:space="0" w:color="auto"/>
      </w:divBdr>
      <w:divsChild>
        <w:div w:id="204753808">
          <w:marLeft w:val="0"/>
          <w:marRight w:val="0"/>
          <w:marTop w:val="0"/>
          <w:marBottom w:val="0"/>
          <w:divBdr>
            <w:top w:val="none" w:sz="0" w:space="0" w:color="auto"/>
            <w:left w:val="none" w:sz="0" w:space="0" w:color="auto"/>
            <w:bottom w:val="none" w:sz="0" w:space="0" w:color="auto"/>
            <w:right w:val="none" w:sz="0" w:space="0" w:color="auto"/>
          </w:divBdr>
          <w:divsChild>
            <w:div w:id="2097094645">
              <w:marLeft w:val="0"/>
              <w:marRight w:val="0"/>
              <w:marTop w:val="0"/>
              <w:marBottom w:val="0"/>
              <w:divBdr>
                <w:top w:val="none" w:sz="0" w:space="0" w:color="auto"/>
                <w:left w:val="none" w:sz="0" w:space="0" w:color="auto"/>
                <w:bottom w:val="none" w:sz="0" w:space="0" w:color="auto"/>
                <w:right w:val="none" w:sz="0" w:space="0" w:color="auto"/>
              </w:divBdr>
              <w:divsChild>
                <w:div w:id="982470051">
                  <w:marLeft w:val="0"/>
                  <w:marRight w:val="0"/>
                  <w:marTop w:val="0"/>
                  <w:marBottom w:val="0"/>
                  <w:divBdr>
                    <w:top w:val="none" w:sz="0" w:space="0" w:color="auto"/>
                    <w:left w:val="none" w:sz="0" w:space="0" w:color="auto"/>
                    <w:bottom w:val="none" w:sz="0" w:space="0" w:color="auto"/>
                    <w:right w:val="none" w:sz="0" w:space="0" w:color="auto"/>
                  </w:divBdr>
                  <w:divsChild>
                    <w:div w:id="1747264452">
                      <w:marLeft w:val="0"/>
                      <w:marRight w:val="0"/>
                      <w:marTop w:val="0"/>
                      <w:marBottom w:val="0"/>
                      <w:divBdr>
                        <w:top w:val="none" w:sz="0" w:space="0" w:color="auto"/>
                        <w:left w:val="none" w:sz="0" w:space="0" w:color="auto"/>
                        <w:bottom w:val="none" w:sz="0" w:space="0" w:color="auto"/>
                        <w:right w:val="none" w:sz="0" w:space="0" w:color="auto"/>
                      </w:divBdr>
                      <w:divsChild>
                        <w:div w:id="1626354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95602620">
      <w:bodyDiv w:val="1"/>
      <w:marLeft w:val="0"/>
      <w:marRight w:val="0"/>
      <w:marTop w:val="0"/>
      <w:marBottom w:val="0"/>
      <w:divBdr>
        <w:top w:val="none" w:sz="0" w:space="0" w:color="auto"/>
        <w:left w:val="none" w:sz="0" w:space="0" w:color="auto"/>
        <w:bottom w:val="none" w:sz="0" w:space="0" w:color="auto"/>
        <w:right w:val="none" w:sz="0" w:space="0" w:color="auto"/>
      </w:divBdr>
    </w:div>
    <w:div w:id="661008193">
      <w:bodyDiv w:val="1"/>
      <w:marLeft w:val="0"/>
      <w:marRight w:val="0"/>
      <w:marTop w:val="0"/>
      <w:marBottom w:val="0"/>
      <w:divBdr>
        <w:top w:val="none" w:sz="0" w:space="0" w:color="auto"/>
        <w:left w:val="none" w:sz="0" w:space="0" w:color="auto"/>
        <w:bottom w:val="none" w:sz="0" w:space="0" w:color="auto"/>
        <w:right w:val="none" w:sz="0" w:space="0" w:color="auto"/>
      </w:divBdr>
    </w:div>
    <w:div w:id="787043986">
      <w:bodyDiv w:val="1"/>
      <w:marLeft w:val="0"/>
      <w:marRight w:val="0"/>
      <w:marTop w:val="0"/>
      <w:marBottom w:val="0"/>
      <w:divBdr>
        <w:top w:val="none" w:sz="0" w:space="0" w:color="auto"/>
        <w:left w:val="none" w:sz="0" w:space="0" w:color="auto"/>
        <w:bottom w:val="none" w:sz="0" w:space="0" w:color="auto"/>
        <w:right w:val="none" w:sz="0" w:space="0" w:color="auto"/>
      </w:divBdr>
    </w:div>
    <w:div w:id="791945702">
      <w:bodyDiv w:val="1"/>
      <w:marLeft w:val="0"/>
      <w:marRight w:val="0"/>
      <w:marTop w:val="0"/>
      <w:marBottom w:val="0"/>
      <w:divBdr>
        <w:top w:val="none" w:sz="0" w:space="0" w:color="auto"/>
        <w:left w:val="none" w:sz="0" w:space="0" w:color="auto"/>
        <w:bottom w:val="none" w:sz="0" w:space="0" w:color="auto"/>
        <w:right w:val="none" w:sz="0" w:space="0" w:color="auto"/>
      </w:divBdr>
    </w:div>
    <w:div w:id="913052067">
      <w:bodyDiv w:val="1"/>
      <w:marLeft w:val="0"/>
      <w:marRight w:val="0"/>
      <w:marTop w:val="0"/>
      <w:marBottom w:val="0"/>
      <w:divBdr>
        <w:top w:val="none" w:sz="0" w:space="0" w:color="auto"/>
        <w:left w:val="none" w:sz="0" w:space="0" w:color="auto"/>
        <w:bottom w:val="none" w:sz="0" w:space="0" w:color="auto"/>
        <w:right w:val="none" w:sz="0" w:space="0" w:color="auto"/>
      </w:divBdr>
    </w:div>
    <w:div w:id="968705001">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677"/>
          <w:marRight w:val="0"/>
          <w:marTop w:val="0"/>
          <w:marBottom w:val="0"/>
          <w:divBdr>
            <w:top w:val="none" w:sz="0" w:space="0" w:color="auto"/>
            <w:left w:val="none" w:sz="0" w:space="0" w:color="auto"/>
            <w:bottom w:val="none" w:sz="0" w:space="0" w:color="auto"/>
            <w:right w:val="none" w:sz="0" w:space="0" w:color="auto"/>
          </w:divBdr>
        </w:div>
        <w:div w:id="328336836">
          <w:marLeft w:val="677"/>
          <w:marRight w:val="0"/>
          <w:marTop w:val="0"/>
          <w:marBottom w:val="0"/>
          <w:divBdr>
            <w:top w:val="none" w:sz="0" w:space="0" w:color="auto"/>
            <w:left w:val="none" w:sz="0" w:space="0" w:color="auto"/>
            <w:bottom w:val="none" w:sz="0" w:space="0" w:color="auto"/>
            <w:right w:val="none" w:sz="0" w:space="0" w:color="auto"/>
          </w:divBdr>
        </w:div>
        <w:div w:id="717776392">
          <w:marLeft w:val="677"/>
          <w:marRight w:val="0"/>
          <w:marTop w:val="0"/>
          <w:marBottom w:val="0"/>
          <w:divBdr>
            <w:top w:val="none" w:sz="0" w:space="0" w:color="auto"/>
            <w:left w:val="none" w:sz="0" w:space="0" w:color="auto"/>
            <w:bottom w:val="none" w:sz="0" w:space="0" w:color="auto"/>
            <w:right w:val="none" w:sz="0" w:space="0" w:color="auto"/>
          </w:divBdr>
        </w:div>
        <w:div w:id="726534001">
          <w:marLeft w:val="677"/>
          <w:marRight w:val="0"/>
          <w:marTop w:val="0"/>
          <w:marBottom w:val="0"/>
          <w:divBdr>
            <w:top w:val="none" w:sz="0" w:space="0" w:color="auto"/>
            <w:left w:val="none" w:sz="0" w:space="0" w:color="auto"/>
            <w:bottom w:val="none" w:sz="0" w:space="0" w:color="auto"/>
            <w:right w:val="none" w:sz="0" w:space="0" w:color="auto"/>
          </w:divBdr>
        </w:div>
        <w:div w:id="929511336">
          <w:marLeft w:val="677"/>
          <w:marRight w:val="0"/>
          <w:marTop w:val="0"/>
          <w:marBottom w:val="0"/>
          <w:divBdr>
            <w:top w:val="none" w:sz="0" w:space="0" w:color="auto"/>
            <w:left w:val="none" w:sz="0" w:space="0" w:color="auto"/>
            <w:bottom w:val="none" w:sz="0" w:space="0" w:color="auto"/>
            <w:right w:val="none" w:sz="0" w:space="0" w:color="auto"/>
          </w:divBdr>
        </w:div>
        <w:div w:id="1159417165">
          <w:marLeft w:val="677"/>
          <w:marRight w:val="0"/>
          <w:marTop w:val="0"/>
          <w:marBottom w:val="0"/>
          <w:divBdr>
            <w:top w:val="none" w:sz="0" w:space="0" w:color="auto"/>
            <w:left w:val="none" w:sz="0" w:space="0" w:color="auto"/>
            <w:bottom w:val="none" w:sz="0" w:space="0" w:color="auto"/>
            <w:right w:val="none" w:sz="0" w:space="0" w:color="auto"/>
          </w:divBdr>
        </w:div>
        <w:div w:id="1386219502">
          <w:marLeft w:val="677"/>
          <w:marRight w:val="0"/>
          <w:marTop w:val="0"/>
          <w:marBottom w:val="0"/>
          <w:divBdr>
            <w:top w:val="none" w:sz="0" w:space="0" w:color="auto"/>
            <w:left w:val="none" w:sz="0" w:space="0" w:color="auto"/>
            <w:bottom w:val="none" w:sz="0" w:space="0" w:color="auto"/>
            <w:right w:val="none" w:sz="0" w:space="0" w:color="auto"/>
          </w:divBdr>
        </w:div>
        <w:div w:id="1721439785">
          <w:marLeft w:val="677"/>
          <w:marRight w:val="0"/>
          <w:marTop w:val="0"/>
          <w:marBottom w:val="0"/>
          <w:divBdr>
            <w:top w:val="none" w:sz="0" w:space="0" w:color="auto"/>
            <w:left w:val="none" w:sz="0" w:space="0" w:color="auto"/>
            <w:bottom w:val="none" w:sz="0" w:space="0" w:color="auto"/>
            <w:right w:val="none" w:sz="0" w:space="0" w:color="auto"/>
          </w:divBdr>
        </w:div>
      </w:divsChild>
    </w:div>
    <w:div w:id="988246074">
      <w:bodyDiv w:val="1"/>
      <w:marLeft w:val="0"/>
      <w:marRight w:val="0"/>
      <w:marTop w:val="0"/>
      <w:marBottom w:val="0"/>
      <w:divBdr>
        <w:top w:val="none" w:sz="0" w:space="0" w:color="auto"/>
        <w:left w:val="none" w:sz="0" w:space="0" w:color="auto"/>
        <w:bottom w:val="none" w:sz="0" w:space="0" w:color="auto"/>
        <w:right w:val="none" w:sz="0" w:space="0" w:color="auto"/>
      </w:divBdr>
    </w:div>
    <w:div w:id="1008290654">
      <w:bodyDiv w:val="1"/>
      <w:marLeft w:val="0"/>
      <w:marRight w:val="0"/>
      <w:marTop w:val="0"/>
      <w:marBottom w:val="0"/>
      <w:divBdr>
        <w:top w:val="none" w:sz="0" w:space="0" w:color="auto"/>
        <w:left w:val="none" w:sz="0" w:space="0" w:color="auto"/>
        <w:bottom w:val="none" w:sz="0" w:space="0" w:color="auto"/>
        <w:right w:val="none" w:sz="0" w:space="0" w:color="auto"/>
      </w:divBdr>
      <w:divsChild>
        <w:div w:id="459223522">
          <w:marLeft w:val="0"/>
          <w:marRight w:val="0"/>
          <w:marTop w:val="0"/>
          <w:marBottom w:val="0"/>
          <w:divBdr>
            <w:top w:val="none" w:sz="0" w:space="0" w:color="auto"/>
            <w:left w:val="none" w:sz="0" w:space="0" w:color="auto"/>
            <w:bottom w:val="none" w:sz="0" w:space="0" w:color="auto"/>
            <w:right w:val="none" w:sz="0" w:space="0" w:color="auto"/>
          </w:divBdr>
          <w:divsChild>
            <w:div w:id="12377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823">
      <w:bodyDiv w:val="1"/>
      <w:marLeft w:val="0"/>
      <w:marRight w:val="0"/>
      <w:marTop w:val="0"/>
      <w:marBottom w:val="0"/>
      <w:divBdr>
        <w:top w:val="none" w:sz="0" w:space="0" w:color="auto"/>
        <w:left w:val="none" w:sz="0" w:space="0" w:color="auto"/>
        <w:bottom w:val="none" w:sz="0" w:space="0" w:color="auto"/>
        <w:right w:val="none" w:sz="0" w:space="0" w:color="auto"/>
      </w:divBdr>
      <w:divsChild>
        <w:div w:id="1009721708">
          <w:marLeft w:val="0"/>
          <w:marRight w:val="0"/>
          <w:marTop w:val="0"/>
          <w:marBottom w:val="0"/>
          <w:divBdr>
            <w:top w:val="none" w:sz="0" w:space="0" w:color="auto"/>
            <w:left w:val="none" w:sz="0" w:space="0" w:color="auto"/>
            <w:bottom w:val="none" w:sz="0" w:space="0" w:color="auto"/>
            <w:right w:val="none" w:sz="0" w:space="0" w:color="auto"/>
          </w:divBdr>
          <w:divsChild>
            <w:div w:id="14838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3318">
      <w:bodyDiv w:val="1"/>
      <w:marLeft w:val="0"/>
      <w:marRight w:val="0"/>
      <w:marTop w:val="0"/>
      <w:marBottom w:val="0"/>
      <w:divBdr>
        <w:top w:val="none" w:sz="0" w:space="0" w:color="auto"/>
        <w:left w:val="none" w:sz="0" w:space="0" w:color="auto"/>
        <w:bottom w:val="none" w:sz="0" w:space="0" w:color="auto"/>
        <w:right w:val="none" w:sz="0" w:space="0" w:color="auto"/>
      </w:divBdr>
    </w:div>
    <w:div w:id="1197229296">
      <w:bodyDiv w:val="1"/>
      <w:marLeft w:val="0"/>
      <w:marRight w:val="0"/>
      <w:marTop w:val="0"/>
      <w:marBottom w:val="0"/>
      <w:divBdr>
        <w:top w:val="none" w:sz="0" w:space="0" w:color="auto"/>
        <w:left w:val="none" w:sz="0" w:space="0" w:color="auto"/>
        <w:bottom w:val="none" w:sz="0" w:space="0" w:color="auto"/>
        <w:right w:val="none" w:sz="0" w:space="0" w:color="auto"/>
      </w:divBdr>
    </w:div>
    <w:div w:id="1265653445">
      <w:bodyDiv w:val="1"/>
      <w:marLeft w:val="0"/>
      <w:marRight w:val="0"/>
      <w:marTop w:val="0"/>
      <w:marBottom w:val="0"/>
      <w:divBdr>
        <w:top w:val="none" w:sz="0" w:space="0" w:color="auto"/>
        <w:left w:val="none" w:sz="0" w:space="0" w:color="auto"/>
        <w:bottom w:val="none" w:sz="0" w:space="0" w:color="auto"/>
        <w:right w:val="none" w:sz="0" w:space="0" w:color="auto"/>
      </w:divBdr>
    </w:div>
    <w:div w:id="1577473117">
      <w:bodyDiv w:val="1"/>
      <w:marLeft w:val="0"/>
      <w:marRight w:val="0"/>
      <w:marTop w:val="0"/>
      <w:marBottom w:val="0"/>
      <w:divBdr>
        <w:top w:val="none" w:sz="0" w:space="0" w:color="auto"/>
        <w:left w:val="none" w:sz="0" w:space="0" w:color="auto"/>
        <w:bottom w:val="none" w:sz="0" w:space="0" w:color="auto"/>
        <w:right w:val="none" w:sz="0" w:space="0" w:color="auto"/>
      </w:divBdr>
    </w:div>
    <w:div w:id="1647978269">
      <w:bodyDiv w:val="1"/>
      <w:marLeft w:val="0"/>
      <w:marRight w:val="0"/>
      <w:marTop w:val="0"/>
      <w:marBottom w:val="0"/>
      <w:divBdr>
        <w:top w:val="none" w:sz="0" w:space="0" w:color="auto"/>
        <w:left w:val="none" w:sz="0" w:space="0" w:color="auto"/>
        <w:bottom w:val="none" w:sz="0" w:space="0" w:color="auto"/>
        <w:right w:val="none" w:sz="0" w:space="0" w:color="auto"/>
      </w:divBdr>
    </w:div>
    <w:div w:id="1722705394">
      <w:bodyDiv w:val="1"/>
      <w:marLeft w:val="0"/>
      <w:marRight w:val="0"/>
      <w:marTop w:val="0"/>
      <w:marBottom w:val="0"/>
      <w:divBdr>
        <w:top w:val="none" w:sz="0" w:space="0" w:color="auto"/>
        <w:left w:val="none" w:sz="0" w:space="0" w:color="auto"/>
        <w:bottom w:val="none" w:sz="0" w:space="0" w:color="auto"/>
        <w:right w:val="none" w:sz="0" w:space="0" w:color="auto"/>
      </w:divBdr>
      <w:divsChild>
        <w:div w:id="668825407">
          <w:marLeft w:val="432"/>
          <w:marRight w:val="0"/>
          <w:marTop w:val="120"/>
          <w:marBottom w:val="0"/>
          <w:divBdr>
            <w:top w:val="none" w:sz="0" w:space="0" w:color="auto"/>
            <w:left w:val="none" w:sz="0" w:space="0" w:color="auto"/>
            <w:bottom w:val="none" w:sz="0" w:space="0" w:color="auto"/>
            <w:right w:val="none" w:sz="0" w:space="0" w:color="auto"/>
          </w:divBdr>
        </w:div>
      </w:divsChild>
    </w:div>
    <w:div w:id="1768883960">
      <w:bodyDiv w:val="1"/>
      <w:marLeft w:val="0"/>
      <w:marRight w:val="0"/>
      <w:marTop w:val="0"/>
      <w:marBottom w:val="0"/>
      <w:divBdr>
        <w:top w:val="none" w:sz="0" w:space="0" w:color="auto"/>
        <w:left w:val="none" w:sz="0" w:space="0" w:color="auto"/>
        <w:bottom w:val="none" w:sz="0" w:space="0" w:color="auto"/>
        <w:right w:val="none" w:sz="0" w:space="0" w:color="auto"/>
      </w:divBdr>
    </w:div>
    <w:div w:id="200940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75.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en.wikipedia.org/wiki/Amorphous_silicon" TargetMode="External"/><Relationship Id="rId89" Type="http://schemas.openxmlformats.org/officeDocument/2006/relationships/image" Target="media/image66.emf"/><Relationship Id="rId112" Type="http://schemas.openxmlformats.org/officeDocument/2006/relationships/hyperlink" Target="http://en.wikipedia.org/wiki/Tidal_power" TargetMode="External"/><Relationship Id="rId133" Type="http://schemas.openxmlformats.org/officeDocument/2006/relationships/image" Target="media/image84.png"/><Relationship Id="rId138" Type="http://schemas.openxmlformats.org/officeDocument/2006/relationships/image" Target="media/image89.emf"/><Relationship Id="rId154" Type="http://schemas.openxmlformats.org/officeDocument/2006/relationships/image" Target="media/image104.emf"/><Relationship Id="rId159" Type="http://schemas.openxmlformats.org/officeDocument/2006/relationships/image" Target="media/image109.emf"/><Relationship Id="rId175" Type="http://schemas.openxmlformats.org/officeDocument/2006/relationships/oleObject" Target="embeddings/oleObject1.bin"/><Relationship Id="rId170" Type="http://schemas.openxmlformats.org/officeDocument/2006/relationships/image" Target="media/image120.jpeg"/><Relationship Id="rId16" Type="http://schemas.openxmlformats.org/officeDocument/2006/relationships/image" Target="media/image6.emf"/><Relationship Id="rId107" Type="http://schemas.openxmlformats.org/officeDocument/2006/relationships/hyperlink" Target="http://en.wikipedia.org/wiki/Tidal_power" TargetMode="External"/><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hyperlink" Target="http://en.wikipedia.org/wiki/Solar_radiation" TargetMode="External"/><Relationship Id="rId79" Type="http://schemas.openxmlformats.org/officeDocument/2006/relationships/hyperlink" Target="http://en.wikipedia.org/wiki/Polycrystalline_silicon" TargetMode="External"/><Relationship Id="rId102" Type="http://schemas.openxmlformats.org/officeDocument/2006/relationships/hyperlink" Target="http://en.wikipedia.org/wiki/Hydropower" TargetMode="External"/><Relationship Id="rId123" Type="http://schemas.openxmlformats.org/officeDocument/2006/relationships/hyperlink" Target="http://en.wikipedia.org/wiki/Reverse_osmosis" TargetMode="External"/><Relationship Id="rId128" Type="http://schemas.openxmlformats.org/officeDocument/2006/relationships/image" Target="media/image79.gif"/><Relationship Id="rId144" Type="http://schemas.openxmlformats.org/officeDocument/2006/relationships/image" Target="media/image95.png"/><Relationship Id="rId149" Type="http://schemas.openxmlformats.org/officeDocument/2006/relationships/image" Target="media/image99.png"/><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1.png"/><Relationship Id="rId160" Type="http://schemas.openxmlformats.org/officeDocument/2006/relationships/image" Target="media/image110.emf"/><Relationship Id="rId165" Type="http://schemas.openxmlformats.org/officeDocument/2006/relationships/image" Target="media/image115.emf"/><Relationship Id="rId181" Type="http://schemas.openxmlformats.org/officeDocument/2006/relationships/image" Target="media/image129.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png"/><Relationship Id="rId48" Type="http://schemas.openxmlformats.org/officeDocument/2006/relationships/image" Target="media/image38.emf"/><Relationship Id="rId64" Type="http://schemas.openxmlformats.org/officeDocument/2006/relationships/image" Target="media/image53.png"/><Relationship Id="rId69" Type="http://schemas.openxmlformats.org/officeDocument/2006/relationships/image" Target="media/image58.emf"/><Relationship Id="rId113" Type="http://schemas.openxmlformats.org/officeDocument/2006/relationships/hyperlink" Target="http://en.wikipedia.org/wiki/Tidal_power" TargetMode="External"/><Relationship Id="rId118" Type="http://schemas.openxmlformats.org/officeDocument/2006/relationships/image" Target="media/image76.emf"/><Relationship Id="rId134" Type="http://schemas.openxmlformats.org/officeDocument/2006/relationships/image" Target="media/image85.png"/><Relationship Id="rId139" Type="http://schemas.openxmlformats.org/officeDocument/2006/relationships/image" Target="media/image90.png"/><Relationship Id="rId80" Type="http://schemas.openxmlformats.org/officeDocument/2006/relationships/hyperlink" Target="http://en.wikipedia.org/wiki/Microcrystalline_silicon" TargetMode="External"/><Relationship Id="rId85" Type="http://schemas.openxmlformats.org/officeDocument/2006/relationships/hyperlink" Target="http://en.wikipedia.org/wiki/Photovoltaic_cell" TargetMode="External"/><Relationship Id="rId150" Type="http://schemas.openxmlformats.org/officeDocument/2006/relationships/image" Target="media/image100.emf"/><Relationship Id="rId155" Type="http://schemas.openxmlformats.org/officeDocument/2006/relationships/image" Target="media/image105.emf"/><Relationship Id="rId171" Type="http://schemas.openxmlformats.org/officeDocument/2006/relationships/image" Target="media/image121.png"/><Relationship Id="rId176" Type="http://schemas.openxmlformats.org/officeDocument/2006/relationships/image" Target="media/image125.emf"/><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3.png"/><Relationship Id="rId38" Type="http://schemas.openxmlformats.org/officeDocument/2006/relationships/image" Target="media/image28.emf"/><Relationship Id="rId59" Type="http://schemas.openxmlformats.org/officeDocument/2006/relationships/hyperlink" Target="http://en.wikipedia.org/wiki/Wind" TargetMode="External"/><Relationship Id="rId103" Type="http://schemas.openxmlformats.org/officeDocument/2006/relationships/hyperlink" Target="http://en.wikipedia.org/wiki/Tide" TargetMode="External"/><Relationship Id="rId108" Type="http://schemas.openxmlformats.org/officeDocument/2006/relationships/hyperlink" Target="http://en.wikipedia.org/wiki/Tidal_power" TargetMode="External"/><Relationship Id="rId124" Type="http://schemas.openxmlformats.org/officeDocument/2006/relationships/hyperlink" Target="http://en.wikipedia.org/wiki/Reverse_osmosis_plant" TargetMode="External"/><Relationship Id="rId129" Type="http://schemas.openxmlformats.org/officeDocument/2006/relationships/image" Target="media/image80.jpeg"/><Relationship Id="rId54" Type="http://schemas.openxmlformats.org/officeDocument/2006/relationships/image" Target="media/image44.emf"/><Relationship Id="rId70" Type="http://schemas.openxmlformats.org/officeDocument/2006/relationships/image" Target="media/image59.emf"/><Relationship Id="rId75" Type="http://schemas.openxmlformats.org/officeDocument/2006/relationships/hyperlink" Target="http://en.wikipedia.org/wiki/Direct_current" TargetMode="External"/><Relationship Id="rId91" Type="http://schemas.openxmlformats.org/officeDocument/2006/relationships/image" Target="media/image68.emf"/><Relationship Id="rId96" Type="http://schemas.openxmlformats.org/officeDocument/2006/relationships/image" Target="media/image72.emf"/><Relationship Id="rId140" Type="http://schemas.openxmlformats.org/officeDocument/2006/relationships/image" Target="media/image91.png"/><Relationship Id="rId145" Type="http://schemas.openxmlformats.org/officeDocument/2006/relationships/image" Target="media/image96.emf"/><Relationship Id="rId161" Type="http://schemas.openxmlformats.org/officeDocument/2006/relationships/image" Target="media/image111.emf"/><Relationship Id="rId166" Type="http://schemas.openxmlformats.org/officeDocument/2006/relationships/image" Target="media/image116.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hyperlink" Target="http://en.wikipedia.org/wiki/Hydraulic_head" TargetMode="External"/><Relationship Id="rId119" Type="http://schemas.openxmlformats.org/officeDocument/2006/relationships/image" Target="media/image77.emf"/><Relationship Id="rId44" Type="http://schemas.openxmlformats.org/officeDocument/2006/relationships/image" Target="media/image34.png"/><Relationship Id="rId60" Type="http://schemas.openxmlformats.org/officeDocument/2006/relationships/image" Target="media/image49.emf"/><Relationship Id="rId65" Type="http://schemas.openxmlformats.org/officeDocument/2006/relationships/image" Target="media/image54.png"/><Relationship Id="rId81" Type="http://schemas.openxmlformats.org/officeDocument/2006/relationships/hyperlink" Target="http://en.wikipedia.org/wiki/Cadmium_telluride" TargetMode="External"/><Relationship Id="rId86" Type="http://schemas.openxmlformats.org/officeDocument/2006/relationships/image" Target="media/image63.jpeg"/><Relationship Id="rId130" Type="http://schemas.openxmlformats.org/officeDocument/2006/relationships/image" Target="media/image81.jpeg"/><Relationship Id="rId135" Type="http://schemas.openxmlformats.org/officeDocument/2006/relationships/image" Target="media/image86.png"/><Relationship Id="rId151" Type="http://schemas.openxmlformats.org/officeDocument/2006/relationships/image" Target="media/image101.emf"/><Relationship Id="rId156" Type="http://schemas.openxmlformats.org/officeDocument/2006/relationships/image" Target="media/image106.emf"/><Relationship Id="rId177" Type="http://schemas.openxmlformats.org/officeDocument/2006/relationships/image" Target="media/image126.emf"/><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image" Target="media/image122.emf"/><Relationship Id="rId180" Type="http://schemas.openxmlformats.org/officeDocument/2006/relationships/image" Target="media/image128.emf"/><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hyperlink" Target="http://en.wikipedia.org/wiki/Tidal_power" TargetMode="External"/><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hyperlink" Target="http://en.wikipedia.org/wiki/Electricity" TargetMode="External"/><Relationship Id="rId97" Type="http://schemas.openxmlformats.org/officeDocument/2006/relationships/hyperlink" Target="http://en.wikipedia.org/wiki/Wave_farm" TargetMode="External"/><Relationship Id="rId104" Type="http://schemas.openxmlformats.org/officeDocument/2006/relationships/hyperlink" Target="http://en.wikipedia.org/wiki/Rance_Tidal_Power_Station" TargetMode="External"/><Relationship Id="rId120" Type="http://schemas.openxmlformats.org/officeDocument/2006/relationships/image" Target="media/image78.emf"/><Relationship Id="rId125" Type="http://schemas.openxmlformats.org/officeDocument/2006/relationships/hyperlink" Target="http://en.wikipedia.org/wiki/National_Institute_of_Ocean_Technology" TargetMode="External"/><Relationship Id="rId141" Type="http://schemas.openxmlformats.org/officeDocument/2006/relationships/image" Target="media/image92.png"/><Relationship Id="rId146" Type="http://schemas.openxmlformats.org/officeDocument/2006/relationships/hyperlink" Target="http://en.wikipedia.org/wiki/File:Passivhaus_section_en.jpg" TargetMode="External"/><Relationship Id="rId167"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69.emf"/><Relationship Id="rId162" Type="http://schemas.openxmlformats.org/officeDocument/2006/relationships/image" Target="media/image112.emf"/><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64.png"/><Relationship Id="rId110" Type="http://schemas.openxmlformats.org/officeDocument/2006/relationships/hyperlink" Target="http://en.wikipedia.org/wiki/Tidal_power" TargetMode="External"/><Relationship Id="rId115" Type="http://schemas.openxmlformats.org/officeDocument/2006/relationships/hyperlink" Target="http://en.wikipedia.org/wiki/Temperature" TargetMode="External"/><Relationship Id="rId131" Type="http://schemas.openxmlformats.org/officeDocument/2006/relationships/image" Target="media/image82.emf"/><Relationship Id="rId136" Type="http://schemas.openxmlformats.org/officeDocument/2006/relationships/image" Target="media/image87.png"/><Relationship Id="rId157" Type="http://schemas.openxmlformats.org/officeDocument/2006/relationships/image" Target="media/image107.emf"/><Relationship Id="rId178" Type="http://schemas.openxmlformats.org/officeDocument/2006/relationships/image" Target="media/image127.png"/><Relationship Id="rId61" Type="http://schemas.openxmlformats.org/officeDocument/2006/relationships/image" Target="media/image50.emf"/><Relationship Id="rId82" Type="http://schemas.openxmlformats.org/officeDocument/2006/relationships/hyperlink" Target="http://en.wikipedia.org/wiki/Copper_indium_selenide" TargetMode="External"/><Relationship Id="rId152" Type="http://schemas.openxmlformats.org/officeDocument/2006/relationships/image" Target="media/image102.emf"/><Relationship Id="rId173" Type="http://schemas.openxmlformats.org/officeDocument/2006/relationships/image" Target="media/image123.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2.png"/><Relationship Id="rId100" Type="http://schemas.openxmlformats.org/officeDocument/2006/relationships/image" Target="media/image73.png"/><Relationship Id="rId105" Type="http://schemas.openxmlformats.org/officeDocument/2006/relationships/hyperlink" Target="http://en.wikipedia.org/wiki/Wind_energy" TargetMode="External"/><Relationship Id="rId126" Type="http://schemas.openxmlformats.org/officeDocument/2006/relationships/hyperlink" Target="http://en.wikipedia.org/wiki/Lakshadweep" TargetMode="External"/><Relationship Id="rId147" Type="http://schemas.openxmlformats.org/officeDocument/2006/relationships/image" Target="media/image97.jpeg"/><Relationship Id="rId168"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1.emf"/><Relationship Id="rId93" Type="http://schemas.openxmlformats.org/officeDocument/2006/relationships/hyperlink" Target="http://en.wikipedia.org/wiki/Concentrating_solar_power" TargetMode="External"/><Relationship Id="rId98" Type="http://schemas.openxmlformats.org/officeDocument/2006/relationships/hyperlink" Target="http://en.wikipedia.org/wiki/Agu%C3%A7adoura_Wave_Park" TargetMode="External"/><Relationship Id="rId121" Type="http://schemas.openxmlformats.org/officeDocument/2006/relationships/hyperlink" Target="http://en.wikipedia.org/wiki/Groundwater" TargetMode="External"/><Relationship Id="rId142" Type="http://schemas.openxmlformats.org/officeDocument/2006/relationships/image" Target="media/image93.png"/><Relationship Id="rId163" Type="http://schemas.openxmlformats.org/officeDocument/2006/relationships/image" Target="media/image113.emf"/><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hyperlink" Target="http://en.wikipedia.org/wiki/Heat_engine" TargetMode="External"/><Relationship Id="rId137" Type="http://schemas.openxmlformats.org/officeDocument/2006/relationships/image" Target="media/image88.emf"/><Relationship Id="rId158" Type="http://schemas.openxmlformats.org/officeDocument/2006/relationships/image" Target="media/image108.emf"/><Relationship Id="rId20" Type="http://schemas.openxmlformats.org/officeDocument/2006/relationships/image" Target="media/image10.emf"/><Relationship Id="rId41" Type="http://schemas.openxmlformats.org/officeDocument/2006/relationships/image" Target="media/image31.png"/><Relationship Id="rId62" Type="http://schemas.openxmlformats.org/officeDocument/2006/relationships/image" Target="media/image51.emf"/><Relationship Id="rId83" Type="http://schemas.openxmlformats.org/officeDocument/2006/relationships/hyperlink" Target="http://en.wikipedia.org/wiki/Microcrystalline_silicon" TargetMode="External"/><Relationship Id="rId88" Type="http://schemas.openxmlformats.org/officeDocument/2006/relationships/image" Target="media/image65.png"/><Relationship Id="rId111" Type="http://schemas.openxmlformats.org/officeDocument/2006/relationships/hyperlink" Target="http://en.wikipedia.org/wiki/Kinetic_energy" TargetMode="External"/><Relationship Id="rId132" Type="http://schemas.openxmlformats.org/officeDocument/2006/relationships/image" Target="media/image83.emf"/><Relationship Id="rId153" Type="http://schemas.openxmlformats.org/officeDocument/2006/relationships/image" Target="media/image103.emf"/><Relationship Id="rId174" Type="http://schemas.openxmlformats.org/officeDocument/2006/relationships/image" Target="media/image124.png"/><Relationship Id="rId179" Type="http://schemas.openxmlformats.org/officeDocument/2006/relationships/oleObject" Target="embeddings/oleObject2.bin"/><Relationship Id="rId15" Type="http://schemas.openxmlformats.org/officeDocument/2006/relationships/image" Target="media/image5.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hyperlink" Target="http://en.wikipedia.org/wiki/Tidal_power" TargetMode="External"/><Relationship Id="rId127" Type="http://schemas.openxmlformats.org/officeDocument/2006/relationships/hyperlink" Target="http://en.wikipedia.org/wiki/Chennai" TargetMode="External"/><Relationship Id="rId10" Type="http://schemas.openxmlformats.org/officeDocument/2006/relationships/footer" Target="footer1.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hyperlink" Target="http://en.wikipedia.org/wiki/Concentrating_solar_power" TargetMode="External"/><Relationship Id="rId78" Type="http://schemas.openxmlformats.org/officeDocument/2006/relationships/hyperlink" Target="http://en.wikipedia.org/wiki/Monocrystalline_silicon" TargetMode="External"/><Relationship Id="rId94" Type="http://schemas.openxmlformats.org/officeDocument/2006/relationships/image" Target="media/image70.png"/><Relationship Id="rId99" Type="http://schemas.openxmlformats.org/officeDocument/2006/relationships/hyperlink" Target="http://en.wikipedia.org/wiki/Pelamis_wave_energy_converter" TargetMode="External"/><Relationship Id="rId101" Type="http://schemas.openxmlformats.org/officeDocument/2006/relationships/image" Target="media/image74.png"/><Relationship Id="rId122" Type="http://schemas.openxmlformats.org/officeDocument/2006/relationships/hyperlink" Target="http://en.wikipedia.org/wiki/Vacuum_distillation" TargetMode="External"/><Relationship Id="rId143" Type="http://schemas.openxmlformats.org/officeDocument/2006/relationships/image" Target="media/image94.png"/><Relationship Id="rId148" Type="http://schemas.openxmlformats.org/officeDocument/2006/relationships/image" Target="media/image98.png"/><Relationship Id="rId164" Type="http://schemas.openxmlformats.org/officeDocument/2006/relationships/image" Target="media/image114.emf"/><Relationship Id="rId169"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BAC565-1F43-4A05-8E17-17726B3F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57661</Words>
  <Characters>261206</Characters>
  <Application>Microsoft Office Word</Application>
  <DocSecurity>0</DocSecurity>
  <Lines>37315</Lines>
  <Paragraphs>17714</Paragraphs>
  <ScaleCrop>false</ScaleCrop>
  <HeadingPairs>
    <vt:vector size="2" baseType="variant">
      <vt:variant>
        <vt:lpstr>Title</vt:lpstr>
      </vt:variant>
      <vt:variant>
        <vt:i4>1</vt:i4>
      </vt:variant>
    </vt:vector>
  </HeadingPairs>
  <TitlesOfParts>
    <vt:vector size="1" baseType="lpstr">
      <vt:lpstr>The Emerging Electrical Markets for Copper</vt:lpstr>
    </vt:vector>
  </TitlesOfParts>
  <Company>Bloomsbury Minerals economics ltd</Company>
  <LinksUpToDate>false</LinksUpToDate>
  <CharactersWithSpaces>301153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Emerging Electrical Markets for Copper</dc:title>
  <dc:subject>A Market Report on Copper</dc:subject>
  <dc:creator>Paul Dewison</dc:creator>
  <cp:lastModifiedBy>Nicole Witoslawski</cp:lastModifiedBy>
  <cp:revision>2</cp:revision>
  <cp:lastPrinted>2010-07-15T10:30:00Z</cp:lastPrinted>
  <dcterms:created xsi:type="dcterms:W3CDTF">2017-02-13T21:44:00Z</dcterms:created>
  <dcterms:modified xsi:type="dcterms:W3CDTF">2017-02-13T21:44:00Z</dcterms:modified>
</cp:coreProperties>
</file>